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5DFFB" w14:textId="77777777" w:rsidR="001A1EA5" w:rsidRDefault="001A1EA5" w:rsidP="001A1EA5">
      <w:pPr>
        <w:spacing w:line="240" w:lineRule="atLeast"/>
        <w:jc w:val="center"/>
        <w:rPr>
          <w:sz w:val="24"/>
          <w:szCs w:val="24"/>
        </w:rPr>
      </w:pPr>
    </w:p>
    <w:p w14:paraId="399EA0FC" w14:textId="77777777" w:rsidR="001A1EA5" w:rsidRDefault="001A1EA5" w:rsidP="001A1EA5">
      <w:pPr>
        <w:jc w:val="center"/>
        <w:rPr>
          <w:b/>
          <w:bCs/>
          <w:sz w:val="24"/>
        </w:rPr>
      </w:pPr>
      <w:r>
        <w:rPr>
          <w:b/>
          <w:bCs/>
        </w:rPr>
        <w:t>O b r a z l o ž e nj e</w:t>
      </w:r>
    </w:p>
    <w:p w14:paraId="1592C6AE" w14:textId="77777777" w:rsidR="001A1EA5" w:rsidRDefault="001A1EA5" w:rsidP="001A1EA5">
      <w:pPr>
        <w:jc w:val="center"/>
        <w:rPr>
          <w:b/>
          <w:bCs/>
        </w:rPr>
      </w:pPr>
      <w:r>
        <w:rPr>
          <w:b/>
          <w:bCs/>
        </w:rPr>
        <w:t xml:space="preserve">uz Odluku o raspoređivanju sredstava iz proračuna Grada Ivanca za financiranje </w:t>
      </w:r>
    </w:p>
    <w:p w14:paraId="3ADCC09A" w14:textId="77777777" w:rsidR="001A1EA5" w:rsidRDefault="001A1EA5" w:rsidP="001A1EA5">
      <w:pPr>
        <w:jc w:val="center"/>
        <w:rPr>
          <w:b/>
          <w:bCs/>
        </w:rPr>
      </w:pPr>
      <w:r>
        <w:rPr>
          <w:b/>
          <w:bCs/>
        </w:rPr>
        <w:t>redovitih političkih aktivnosti u 2026. godini</w:t>
      </w:r>
    </w:p>
    <w:p w14:paraId="41D5A10C" w14:textId="77777777" w:rsidR="001A1EA5" w:rsidRDefault="001A1EA5" w:rsidP="001A1EA5">
      <w:pPr>
        <w:jc w:val="both"/>
        <w:rPr>
          <w:bCs/>
        </w:rPr>
      </w:pPr>
    </w:p>
    <w:p w14:paraId="3B901FAD" w14:textId="77777777" w:rsidR="001A1EA5" w:rsidRDefault="001A1EA5" w:rsidP="001A1EA5">
      <w:pPr>
        <w:tabs>
          <w:tab w:val="left" w:pos="993"/>
        </w:tabs>
        <w:jc w:val="both"/>
      </w:pPr>
      <w:r>
        <w:rPr>
          <w:bCs/>
        </w:rPr>
        <w:t xml:space="preserve">Pravni temelj za donošenje predmetne Odluke je odredba članka 10. stavak 3. </w:t>
      </w:r>
      <w:r>
        <w:t xml:space="preserve">Zakona o financiranju političkih aktivnosti, izborne promidžbe i referenduma („Narodne novine“ br. 29/19 i 98/19; dalje u tekstu: Zakon),  kojom je propisano da predstavničko tijelo jedinice lokalne samouprave donosi Odluku o raspoređivanju sredstava za redovito financiranje političkih stranaka odnosno nezavisnih vijećnika zastupljenih u predstavničkom tijelu, iz sredstava proračuna jedinica lokalne samouprave. </w:t>
      </w:r>
    </w:p>
    <w:p w14:paraId="231C1348" w14:textId="77777777" w:rsidR="001A1EA5" w:rsidRDefault="001A1EA5" w:rsidP="001A1EA5">
      <w:pPr>
        <w:tabs>
          <w:tab w:val="left" w:pos="993"/>
        </w:tabs>
        <w:jc w:val="both"/>
      </w:pPr>
    </w:p>
    <w:p w14:paraId="071C660F" w14:textId="77777777" w:rsidR="001A1EA5" w:rsidRDefault="001A1EA5" w:rsidP="001A1EA5">
      <w:pPr>
        <w:tabs>
          <w:tab w:val="left" w:pos="912"/>
        </w:tabs>
        <w:jc w:val="both"/>
      </w:pPr>
      <w:r>
        <w:t>Odredbom članka 35. stavak 1. Statuta Grada Ivanca („Službeni vjesnik Varaždinske županije“ broj 21/09, 12/13, 23/13 – pročišćeni tekst, 13/18, 8/20, 15/21, 38/21 – pročišćeni tekst, 23/23), propisana je nadležnost Gradskog vijeća Grada Ivanca za donošenje ovog akta.</w:t>
      </w:r>
    </w:p>
    <w:p w14:paraId="67840A10" w14:textId="77777777" w:rsidR="001A1EA5" w:rsidRDefault="001A1EA5" w:rsidP="001A1EA5">
      <w:pPr>
        <w:jc w:val="both"/>
      </w:pPr>
    </w:p>
    <w:p w14:paraId="4F8305FE" w14:textId="77777777" w:rsidR="001A1EA5" w:rsidRDefault="001A1EA5" w:rsidP="001A1EA5">
      <w:pPr>
        <w:jc w:val="both"/>
        <w:rPr>
          <w:rStyle w:val="markedcontent"/>
          <w:rFonts w:eastAsiaTheme="majorEastAsia"/>
        </w:rPr>
      </w:pPr>
      <w:r>
        <w:t xml:space="preserve">Sukladno članku 5. stavak 2. Zakona, sredstva za redovito godišnje financiranje političkih stranaka i nezavisnih vijećnika iz proračuna jedinica samouprave, dužna je osigurati jedinica samouprave, u iznosu </w:t>
      </w:r>
      <w:r>
        <w:rPr>
          <w:rStyle w:val="markedcontent"/>
          <w:rFonts w:eastAsiaTheme="majorEastAsia"/>
        </w:rPr>
        <w:t>koji se određuje u proračunu za svaku godinu za koju se proračun donosi, s tim da visina sredstava po jednom članu predstavničkog tijela jedinice lokalne samouprave koja ima više od 10.000 stanovnika, godišnje ne može biti određena u iznosu manjem od 3.500,00 kuna, što preračunato uz primjenu fiksnog tečaja konverzije iznosi 464,53 eura.</w:t>
      </w:r>
    </w:p>
    <w:p w14:paraId="7089B69D" w14:textId="77777777" w:rsidR="001A1EA5" w:rsidRDefault="001A1EA5" w:rsidP="001A1EA5">
      <w:pPr>
        <w:jc w:val="both"/>
        <w:rPr>
          <w:rStyle w:val="markedcontent"/>
          <w:rFonts w:eastAsiaTheme="majorEastAsia"/>
        </w:rPr>
      </w:pPr>
    </w:p>
    <w:p w14:paraId="6E2FA0F7" w14:textId="77777777" w:rsidR="001A1EA5" w:rsidRDefault="001A1EA5" w:rsidP="001A1EA5">
      <w:pPr>
        <w:jc w:val="both"/>
        <w:rPr>
          <w:rStyle w:val="preformatted-text"/>
          <w:rFonts w:eastAsiaTheme="majorEastAsia"/>
        </w:rPr>
      </w:pPr>
      <w:r>
        <w:t xml:space="preserve">Pravo na redovito godišnje financiranje iz sredstava proračuna jedinice samouprave imaju političke stranke </w:t>
      </w:r>
      <w:r>
        <w:rPr>
          <w:b/>
          <w:bCs/>
        </w:rPr>
        <w:t>koje su p</w:t>
      </w:r>
      <w:r>
        <w:rPr>
          <w:rStyle w:val="preformatted-text"/>
          <w:rFonts w:eastAsiaTheme="majorEastAsia"/>
          <w:b/>
          <w:bCs/>
        </w:rPr>
        <w:t>rema konačnim rezultatima izbora dobile mjesto člana u predstavničkom tijelu</w:t>
      </w:r>
      <w:r>
        <w:rPr>
          <w:rStyle w:val="preformatted-text"/>
          <w:rFonts w:eastAsiaTheme="majorEastAsia"/>
        </w:rPr>
        <w:t xml:space="preserve"> jedinice samouprave kao i nezavisni vijećnici, sukladno članku 6. stavak 2. Zakona.</w:t>
      </w:r>
    </w:p>
    <w:p w14:paraId="343F0E5B" w14:textId="77777777" w:rsidR="001A1EA5" w:rsidRDefault="001A1EA5" w:rsidP="001A1EA5">
      <w:pPr>
        <w:jc w:val="both"/>
        <w:rPr>
          <w:rStyle w:val="preformatted-text"/>
          <w:rFonts w:eastAsiaTheme="majorEastAsia"/>
        </w:rPr>
      </w:pPr>
    </w:p>
    <w:p w14:paraId="72167ED0" w14:textId="77777777" w:rsidR="001A1EA5" w:rsidRDefault="001A1EA5" w:rsidP="001A1EA5">
      <w:pPr>
        <w:jc w:val="both"/>
        <w:rPr>
          <w:rStyle w:val="preformatted-text"/>
          <w:rFonts w:eastAsiaTheme="majorEastAsia"/>
        </w:rPr>
      </w:pPr>
      <w:r>
        <w:rPr>
          <w:rStyle w:val="preformatted-text"/>
          <w:rFonts w:eastAsiaTheme="majorEastAsia"/>
        </w:rPr>
        <w:t>Odredbom članka 7. stavak 1. Zakona propisano je da se sredstava za redovito godišnje financiranje osigurana u proračunu jedinice samouprave raspoređuju na način da se utvrdi jednaki iznos sredstava za svakog člana u predstavničkom tijelu, tako da pojedinoj političkoj stranci koja je bila predlagatelj liste pripadaju sredstva razmjerna broju dobivenih mjesta članova u predstavničkom tijelu jedinice samouprave, prema konačnim rezultatima izbora za članove predstavničkog tijela jedinice samouprave.</w:t>
      </w:r>
    </w:p>
    <w:p w14:paraId="640BF5E2" w14:textId="77777777" w:rsidR="001A1EA5" w:rsidRDefault="001A1EA5" w:rsidP="001A1EA5">
      <w:pPr>
        <w:jc w:val="both"/>
        <w:rPr>
          <w:rStyle w:val="preformatted-text"/>
          <w:rFonts w:eastAsiaTheme="majorEastAsia"/>
        </w:rPr>
      </w:pPr>
    </w:p>
    <w:p w14:paraId="39E4D6EA" w14:textId="77777777" w:rsidR="001A1EA5" w:rsidRDefault="001A1EA5" w:rsidP="001A1EA5">
      <w:pPr>
        <w:jc w:val="both"/>
        <w:rPr>
          <w:rStyle w:val="preformatted-text"/>
          <w:rFonts w:eastAsiaTheme="majorEastAsia"/>
        </w:rPr>
      </w:pPr>
      <w:r>
        <w:rPr>
          <w:rStyle w:val="preformatted-text"/>
          <w:rFonts w:eastAsiaTheme="majorEastAsia"/>
        </w:rPr>
        <w:t>Ako je sa zajedničke liste koju su predložile dvije ili više političkih stranaka, prema konačnim rezultatima izbora, izabran član predstavničkog tijela jedinice samouprave koji nije član niti jedne od političkih stranaka koje su predložile zajedničku listu, sredstva za tog člana raspoređuju se političkim strankama koje su predložile zajedničku listu sukladno njihovu sporazumu, a ako sporazum nije zaključen, razmjerno broju osvojenih mjesta članova predstavničkog tijela.</w:t>
      </w:r>
    </w:p>
    <w:p w14:paraId="1B15937F" w14:textId="77777777" w:rsidR="001A1EA5" w:rsidRDefault="001A1EA5" w:rsidP="001A1EA5">
      <w:pPr>
        <w:jc w:val="both"/>
        <w:rPr>
          <w:rStyle w:val="preformatted-text"/>
          <w:rFonts w:eastAsiaTheme="majorEastAsia"/>
        </w:rPr>
      </w:pPr>
    </w:p>
    <w:p w14:paraId="25C8235D" w14:textId="77777777" w:rsidR="001A1EA5" w:rsidRDefault="001A1EA5" w:rsidP="001A1EA5">
      <w:pPr>
        <w:jc w:val="both"/>
        <w:rPr>
          <w:rStyle w:val="preformatted-text"/>
          <w:rFonts w:eastAsiaTheme="majorEastAsia"/>
        </w:rPr>
      </w:pPr>
      <w:r>
        <w:rPr>
          <w:rStyle w:val="preformatted-text"/>
          <w:rFonts w:eastAsiaTheme="majorEastAsia"/>
        </w:rPr>
        <w:t>Temeljem odredbe članka 9. Zakona, za svakog člana predstavničkog tijela podzastupljenog spola, političkim strankama odnosno nezavisnim vijećnicima pripada i pravo na naknadu u visini od 10% iznosa predviđenog po svakom članu predstavničkog tijela jedinice samouprave. Podzastupljenost spola postoji ako je zastupljenost jednog spola u predstavničkom tijelu niža od 40%.</w:t>
      </w:r>
    </w:p>
    <w:p w14:paraId="0A01716B" w14:textId="77777777" w:rsidR="001A1EA5" w:rsidRDefault="001A1EA5" w:rsidP="001A1EA5">
      <w:pPr>
        <w:jc w:val="both"/>
        <w:rPr>
          <w:rStyle w:val="preformatted-text"/>
          <w:rFonts w:eastAsiaTheme="majorEastAsia"/>
        </w:rPr>
      </w:pPr>
    </w:p>
    <w:p w14:paraId="7468C60C" w14:textId="77777777" w:rsidR="001A1EA5" w:rsidRDefault="001A1EA5" w:rsidP="001A1EA5">
      <w:pPr>
        <w:jc w:val="both"/>
        <w:rPr>
          <w:rStyle w:val="preformatted-text"/>
          <w:rFonts w:eastAsiaTheme="majorEastAsia"/>
        </w:rPr>
      </w:pPr>
      <w:r>
        <w:rPr>
          <w:rStyle w:val="preformatted-text"/>
          <w:rFonts w:eastAsiaTheme="majorEastAsia"/>
        </w:rPr>
        <w:t>Raspoređena sredstva doznačuju se na žiroračun političke stranke, odnosno na poseban račun nezavisnog vijećnika, tromjesečno u jednakim iznosima.</w:t>
      </w:r>
    </w:p>
    <w:p w14:paraId="7282B2B1" w14:textId="77777777" w:rsidR="001A1EA5" w:rsidRDefault="001A1EA5" w:rsidP="001A1EA5">
      <w:pPr>
        <w:jc w:val="both"/>
        <w:rPr>
          <w:rStyle w:val="preformatted-text"/>
          <w:rFonts w:eastAsiaTheme="majorEastAsia"/>
        </w:rPr>
      </w:pPr>
    </w:p>
    <w:p w14:paraId="1B0E25B7" w14:textId="77777777" w:rsidR="001A1EA5" w:rsidRDefault="001A1EA5" w:rsidP="001A1EA5">
      <w:pPr>
        <w:jc w:val="both"/>
        <w:rPr>
          <w:rStyle w:val="preformatted-text"/>
          <w:rFonts w:eastAsiaTheme="majorEastAsia"/>
        </w:rPr>
      </w:pPr>
      <w:r>
        <w:rPr>
          <w:rStyle w:val="preformatted-text"/>
          <w:rFonts w:eastAsiaTheme="majorEastAsia"/>
        </w:rPr>
        <w:t>Gradsko vijeće Grada Ivanca ima ukupno 15 članova, a prema konačnim rezultatima izbora za članove Gradskog vijeća Grada Ivanca provedenih 18. svibnja 2025.g.,  u sastav Gradskog vijeća izabrano je ukupno 8 vijećnica i 7 vijećnika, tako da ne postoji podzastupljenost spola u smislu odredbe članka 9. Zakona, obzirom je zastupljenost oba spola viša od 40%.</w:t>
      </w:r>
    </w:p>
    <w:p w14:paraId="08C9A93D" w14:textId="77777777" w:rsidR="001A1EA5" w:rsidRDefault="001A1EA5" w:rsidP="001A1EA5">
      <w:pPr>
        <w:tabs>
          <w:tab w:val="left" w:pos="1276"/>
        </w:tabs>
        <w:jc w:val="both"/>
        <w:rPr>
          <w:rStyle w:val="preformatted-text"/>
          <w:rFonts w:eastAsiaTheme="majorEastAsia"/>
        </w:rPr>
      </w:pPr>
    </w:p>
    <w:p w14:paraId="3B6E2EC6" w14:textId="77777777" w:rsidR="001A1EA5" w:rsidRDefault="001A1EA5" w:rsidP="001A1EA5">
      <w:pPr>
        <w:tabs>
          <w:tab w:val="left" w:pos="993"/>
          <w:tab w:val="left" w:pos="1276"/>
        </w:tabs>
        <w:jc w:val="both"/>
        <w:rPr>
          <w:rStyle w:val="preformatted-text"/>
          <w:rFonts w:eastAsiaTheme="majorEastAsia"/>
        </w:rPr>
      </w:pPr>
    </w:p>
    <w:p w14:paraId="0D0542D1" w14:textId="77777777" w:rsidR="001A1EA5" w:rsidRDefault="001A1EA5" w:rsidP="001A1EA5">
      <w:pPr>
        <w:tabs>
          <w:tab w:val="left" w:pos="993"/>
          <w:tab w:val="left" w:pos="1276"/>
        </w:tabs>
        <w:jc w:val="both"/>
        <w:rPr>
          <w:rStyle w:val="preformatted-text"/>
          <w:rFonts w:eastAsiaTheme="majorEastAsia"/>
        </w:rPr>
      </w:pPr>
    </w:p>
    <w:p w14:paraId="1DE0FA16" w14:textId="77777777" w:rsidR="001A1EA5" w:rsidRDefault="001A1EA5" w:rsidP="001A1EA5">
      <w:pPr>
        <w:tabs>
          <w:tab w:val="left" w:pos="993"/>
          <w:tab w:val="left" w:pos="1276"/>
        </w:tabs>
        <w:jc w:val="both"/>
        <w:rPr>
          <w:rStyle w:val="preformatted-text"/>
          <w:rFonts w:eastAsiaTheme="majorEastAsia"/>
        </w:rPr>
      </w:pPr>
    </w:p>
    <w:p w14:paraId="5AE6CD45" w14:textId="77777777" w:rsidR="001A1EA5" w:rsidRDefault="001A1EA5" w:rsidP="001A1EA5">
      <w:pPr>
        <w:tabs>
          <w:tab w:val="left" w:pos="993"/>
          <w:tab w:val="left" w:pos="1276"/>
        </w:tabs>
        <w:jc w:val="both"/>
        <w:rPr>
          <w:rStyle w:val="preformatted-text"/>
          <w:rFonts w:eastAsiaTheme="majorEastAsia"/>
        </w:rPr>
      </w:pPr>
    </w:p>
    <w:p w14:paraId="635DC182" w14:textId="77777777" w:rsidR="001A1EA5" w:rsidRDefault="001A1EA5" w:rsidP="001A1EA5">
      <w:pPr>
        <w:tabs>
          <w:tab w:val="left" w:pos="993"/>
          <w:tab w:val="left" w:pos="1276"/>
        </w:tabs>
        <w:jc w:val="both"/>
        <w:rPr>
          <w:rStyle w:val="preformatted-text"/>
          <w:rFonts w:eastAsiaTheme="majorEastAsia"/>
        </w:rPr>
      </w:pPr>
    </w:p>
    <w:p w14:paraId="1ED57238" w14:textId="77777777" w:rsidR="001A1EA5" w:rsidRDefault="001A1EA5" w:rsidP="001A1EA5">
      <w:pPr>
        <w:tabs>
          <w:tab w:val="left" w:pos="993"/>
          <w:tab w:val="left" w:pos="1276"/>
        </w:tabs>
        <w:jc w:val="both"/>
        <w:rPr>
          <w:rStyle w:val="preformatted-text"/>
          <w:rFonts w:eastAsiaTheme="majorEastAsia"/>
        </w:rPr>
      </w:pPr>
      <w:r>
        <w:rPr>
          <w:rStyle w:val="preformatted-text"/>
          <w:rFonts w:eastAsiaTheme="majorEastAsia"/>
        </w:rPr>
        <w:t xml:space="preserve">Prijedlogom ove Odluke, za svakog člana Gradskog vijeća utvrđen je jednaki mjesečni iznos sredstava u visini od 90,00 eura, odnosno na godišnjoj razini u visini od 1.080,00 eura, tako da pojedinoj političkoj stranci pripadaju sredstva razmjerno broju njezinih izabranih članova </w:t>
      </w:r>
      <w:r>
        <w:rPr>
          <w:rStyle w:val="preformatted-text"/>
          <w:rFonts w:eastAsiaTheme="majorEastAsia"/>
          <w:b/>
          <w:bCs/>
        </w:rPr>
        <w:t>prema konačnim rezultatima izbora,</w:t>
      </w:r>
      <w:r>
        <w:rPr>
          <w:rStyle w:val="preformatted-text"/>
          <w:rFonts w:eastAsiaTheme="majorEastAsia"/>
        </w:rPr>
        <w:t xml:space="preserve"> i to kako slijedi: </w:t>
      </w:r>
    </w:p>
    <w:p w14:paraId="7D8B8796" w14:textId="77777777" w:rsidR="001A1EA5" w:rsidRDefault="001A1EA5" w:rsidP="001A1EA5">
      <w:pPr>
        <w:tabs>
          <w:tab w:val="left" w:pos="993"/>
          <w:tab w:val="left" w:pos="1276"/>
        </w:tabs>
        <w:jc w:val="both"/>
        <w:rPr>
          <w:rStyle w:val="preformatted-text"/>
          <w:rFonts w:eastAsiaTheme="majorEastAsia"/>
        </w:rPr>
      </w:pPr>
    </w:p>
    <w:p w14:paraId="6CDD7D00" w14:textId="77777777" w:rsidR="001A1EA5" w:rsidRDefault="001A1EA5" w:rsidP="001A1EA5">
      <w:pPr>
        <w:autoSpaceDE w:val="0"/>
        <w:autoSpaceDN w:val="0"/>
        <w:adjustRightInd w:val="0"/>
        <w:jc w:val="both"/>
        <w:rPr>
          <w:rFonts w:eastAsiaTheme="majorEastAsia"/>
          <w:sz w:val="24"/>
          <w:szCs w:val="24"/>
        </w:rPr>
      </w:pPr>
    </w:p>
    <w:tbl>
      <w:tblPr>
        <w:tblStyle w:val="Reetkatablice"/>
        <w:tblW w:w="8640" w:type="dxa"/>
        <w:tblInd w:w="-5" w:type="dxa"/>
        <w:tblLayout w:type="fixed"/>
        <w:tblLook w:val="04A0" w:firstRow="1" w:lastRow="0" w:firstColumn="1" w:lastColumn="0" w:noHBand="0" w:noVBand="1"/>
      </w:tblPr>
      <w:tblGrid>
        <w:gridCol w:w="4391"/>
        <w:gridCol w:w="2549"/>
        <w:gridCol w:w="1700"/>
      </w:tblGrid>
      <w:tr w:rsidR="001A1EA5" w14:paraId="212FCD60" w14:textId="77777777">
        <w:tc>
          <w:tcPr>
            <w:tcW w:w="439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8115E6B" w14:textId="77777777" w:rsidR="001A1EA5" w:rsidRDefault="001A1EA5">
            <w:pPr>
              <w:autoSpaceDE w:val="0"/>
              <w:autoSpaceDN w:val="0"/>
              <w:adjustRightInd w:val="0"/>
              <w:jc w:val="center"/>
              <w:rPr>
                <w:b/>
                <w:bCs/>
                <w:sz w:val="24"/>
                <w:szCs w:val="24"/>
              </w:rPr>
            </w:pPr>
            <w:r>
              <w:rPr>
                <w:b/>
                <w:bCs/>
                <w:sz w:val="24"/>
                <w:szCs w:val="24"/>
              </w:rPr>
              <w:t>Naziv političke stranke</w:t>
            </w:r>
          </w:p>
          <w:p w14:paraId="1D5FD443" w14:textId="77777777" w:rsidR="001A1EA5" w:rsidRDefault="001A1EA5">
            <w:pPr>
              <w:autoSpaceDE w:val="0"/>
              <w:autoSpaceDN w:val="0"/>
              <w:adjustRightInd w:val="0"/>
              <w:jc w:val="center"/>
              <w:rPr>
                <w:b/>
                <w:bCs/>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5EDA52" w14:textId="77777777" w:rsidR="001A1EA5" w:rsidRDefault="001A1EA5">
            <w:pPr>
              <w:autoSpaceDE w:val="0"/>
              <w:autoSpaceDN w:val="0"/>
              <w:adjustRightInd w:val="0"/>
              <w:jc w:val="center"/>
              <w:rPr>
                <w:b/>
                <w:bCs/>
                <w:sz w:val="24"/>
                <w:szCs w:val="24"/>
              </w:rPr>
            </w:pPr>
            <w:r>
              <w:rPr>
                <w:b/>
                <w:bCs/>
                <w:sz w:val="24"/>
                <w:szCs w:val="24"/>
              </w:rPr>
              <w:t>Broj zastupljenih vijećnika</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1EA364F" w14:textId="77777777" w:rsidR="001A1EA5" w:rsidRDefault="001A1EA5">
            <w:pPr>
              <w:autoSpaceDE w:val="0"/>
              <w:autoSpaceDN w:val="0"/>
              <w:adjustRightInd w:val="0"/>
              <w:jc w:val="center"/>
              <w:rPr>
                <w:b/>
                <w:bCs/>
                <w:sz w:val="24"/>
                <w:szCs w:val="24"/>
              </w:rPr>
            </w:pPr>
            <w:r>
              <w:rPr>
                <w:b/>
                <w:bCs/>
                <w:sz w:val="24"/>
                <w:szCs w:val="24"/>
              </w:rPr>
              <w:t xml:space="preserve">Iznos </w:t>
            </w:r>
          </w:p>
          <w:p w14:paraId="21324939" w14:textId="77777777" w:rsidR="001A1EA5" w:rsidRDefault="001A1EA5">
            <w:pPr>
              <w:autoSpaceDE w:val="0"/>
              <w:autoSpaceDN w:val="0"/>
              <w:adjustRightInd w:val="0"/>
              <w:jc w:val="center"/>
              <w:rPr>
                <w:b/>
                <w:bCs/>
                <w:sz w:val="24"/>
                <w:szCs w:val="24"/>
              </w:rPr>
            </w:pPr>
            <w:r>
              <w:rPr>
                <w:b/>
                <w:bCs/>
                <w:sz w:val="24"/>
                <w:szCs w:val="24"/>
              </w:rPr>
              <w:t>u eurima (godišnje)</w:t>
            </w:r>
          </w:p>
        </w:tc>
      </w:tr>
      <w:tr w:rsidR="001A1EA5" w14:paraId="4EEA8ECE" w14:textId="77777777">
        <w:tc>
          <w:tcPr>
            <w:tcW w:w="4395" w:type="dxa"/>
            <w:tcBorders>
              <w:top w:val="single" w:sz="4" w:space="0" w:color="auto"/>
              <w:left w:val="single" w:sz="4" w:space="0" w:color="auto"/>
              <w:bottom w:val="single" w:sz="4" w:space="0" w:color="auto"/>
              <w:right w:val="single" w:sz="4" w:space="0" w:color="auto"/>
            </w:tcBorders>
            <w:hideMark/>
          </w:tcPr>
          <w:p w14:paraId="41E6A228" w14:textId="77777777" w:rsidR="001A1EA5" w:rsidRDefault="001A1EA5">
            <w:pPr>
              <w:autoSpaceDE w:val="0"/>
              <w:autoSpaceDN w:val="0"/>
              <w:adjustRightInd w:val="0"/>
              <w:jc w:val="both"/>
              <w:rPr>
                <w:sz w:val="24"/>
                <w:szCs w:val="24"/>
              </w:rPr>
            </w:pPr>
            <w:r>
              <w:rPr>
                <w:sz w:val="24"/>
                <w:szCs w:val="24"/>
              </w:rPr>
              <w:t>Hrvatska demokratska zajednica – HDZ</w:t>
            </w:r>
          </w:p>
        </w:tc>
        <w:tc>
          <w:tcPr>
            <w:tcW w:w="2551" w:type="dxa"/>
            <w:tcBorders>
              <w:top w:val="single" w:sz="4" w:space="0" w:color="auto"/>
              <w:left w:val="single" w:sz="4" w:space="0" w:color="auto"/>
              <w:bottom w:val="single" w:sz="4" w:space="0" w:color="auto"/>
              <w:right w:val="single" w:sz="4" w:space="0" w:color="auto"/>
            </w:tcBorders>
            <w:hideMark/>
          </w:tcPr>
          <w:p w14:paraId="47E7C0E8" w14:textId="77777777" w:rsidR="001A1EA5" w:rsidRDefault="001A1EA5">
            <w:pPr>
              <w:autoSpaceDE w:val="0"/>
              <w:autoSpaceDN w:val="0"/>
              <w:adjustRightInd w:val="0"/>
              <w:jc w:val="center"/>
              <w:rPr>
                <w:b/>
                <w:bCs/>
                <w:sz w:val="24"/>
                <w:szCs w:val="24"/>
              </w:rPr>
            </w:pPr>
            <w:r>
              <w:rPr>
                <w:b/>
                <w:bCs/>
                <w:sz w:val="24"/>
                <w:szCs w:val="24"/>
              </w:rPr>
              <w:t>6</w:t>
            </w:r>
          </w:p>
          <w:p w14:paraId="20E05F19" w14:textId="77777777" w:rsidR="001A1EA5" w:rsidRDefault="001A1EA5">
            <w:pPr>
              <w:autoSpaceDE w:val="0"/>
              <w:autoSpaceDN w:val="0"/>
              <w:adjustRightInd w:val="0"/>
              <w:jc w:val="center"/>
              <w:rPr>
                <w:sz w:val="24"/>
                <w:szCs w:val="24"/>
              </w:rPr>
            </w:pPr>
            <w:r>
              <w:rPr>
                <w:sz w:val="24"/>
                <w:szCs w:val="24"/>
              </w:rPr>
              <w:t>3 vijećnika (M)</w:t>
            </w:r>
          </w:p>
          <w:p w14:paraId="5AACFB40" w14:textId="77777777" w:rsidR="001A1EA5" w:rsidRDefault="001A1EA5">
            <w:pPr>
              <w:autoSpaceDE w:val="0"/>
              <w:autoSpaceDN w:val="0"/>
              <w:adjustRightInd w:val="0"/>
              <w:jc w:val="center"/>
              <w:rPr>
                <w:sz w:val="24"/>
                <w:szCs w:val="24"/>
              </w:rPr>
            </w:pPr>
            <w:r>
              <w:rPr>
                <w:sz w:val="24"/>
                <w:szCs w:val="24"/>
              </w:rPr>
              <w:t>3 vijećnice (Ž)</w:t>
            </w:r>
          </w:p>
        </w:tc>
        <w:tc>
          <w:tcPr>
            <w:tcW w:w="1701" w:type="dxa"/>
            <w:tcBorders>
              <w:top w:val="single" w:sz="4" w:space="0" w:color="auto"/>
              <w:left w:val="single" w:sz="4" w:space="0" w:color="auto"/>
              <w:bottom w:val="single" w:sz="4" w:space="0" w:color="auto"/>
              <w:right w:val="single" w:sz="4" w:space="0" w:color="auto"/>
            </w:tcBorders>
          </w:tcPr>
          <w:p w14:paraId="392FB6CB" w14:textId="77777777" w:rsidR="001A1EA5" w:rsidRDefault="001A1EA5">
            <w:pPr>
              <w:autoSpaceDE w:val="0"/>
              <w:autoSpaceDN w:val="0"/>
              <w:adjustRightInd w:val="0"/>
              <w:jc w:val="center"/>
              <w:rPr>
                <w:sz w:val="24"/>
                <w:szCs w:val="24"/>
              </w:rPr>
            </w:pPr>
          </w:p>
          <w:p w14:paraId="76845CD7" w14:textId="77777777" w:rsidR="001A1EA5" w:rsidRDefault="001A1EA5">
            <w:pPr>
              <w:autoSpaceDE w:val="0"/>
              <w:autoSpaceDN w:val="0"/>
              <w:adjustRightInd w:val="0"/>
              <w:jc w:val="center"/>
              <w:rPr>
                <w:sz w:val="24"/>
                <w:szCs w:val="24"/>
              </w:rPr>
            </w:pPr>
            <w:r>
              <w:rPr>
                <w:sz w:val="24"/>
                <w:szCs w:val="24"/>
              </w:rPr>
              <w:t>6.480,00</w:t>
            </w:r>
          </w:p>
        </w:tc>
      </w:tr>
      <w:tr w:rsidR="001A1EA5" w14:paraId="4F4D13FE" w14:textId="77777777">
        <w:tc>
          <w:tcPr>
            <w:tcW w:w="4395" w:type="dxa"/>
            <w:tcBorders>
              <w:top w:val="single" w:sz="4" w:space="0" w:color="auto"/>
              <w:left w:val="single" w:sz="4" w:space="0" w:color="auto"/>
              <w:bottom w:val="single" w:sz="4" w:space="0" w:color="auto"/>
              <w:right w:val="single" w:sz="4" w:space="0" w:color="auto"/>
            </w:tcBorders>
            <w:hideMark/>
          </w:tcPr>
          <w:p w14:paraId="1775417E" w14:textId="77777777" w:rsidR="001A1EA5" w:rsidRDefault="001A1EA5">
            <w:pPr>
              <w:autoSpaceDE w:val="0"/>
              <w:autoSpaceDN w:val="0"/>
              <w:adjustRightInd w:val="0"/>
              <w:jc w:val="both"/>
              <w:rPr>
                <w:sz w:val="24"/>
                <w:szCs w:val="24"/>
              </w:rPr>
            </w:pPr>
            <w:r>
              <w:rPr>
                <w:sz w:val="24"/>
                <w:szCs w:val="24"/>
              </w:rPr>
              <w:t>Socijaldemokratska partija Hrvatske – SDP</w:t>
            </w:r>
          </w:p>
        </w:tc>
        <w:tc>
          <w:tcPr>
            <w:tcW w:w="2551" w:type="dxa"/>
            <w:tcBorders>
              <w:top w:val="single" w:sz="4" w:space="0" w:color="auto"/>
              <w:left w:val="single" w:sz="4" w:space="0" w:color="auto"/>
              <w:bottom w:val="single" w:sz="4" w:space="0" w:color="auto"/>
              <w:right w:val="single" w:sz="4" w:space="0" w:color="auto"/>
            </w:tcBorders>
            <w:hideMark/>
          </w:tcPr>
          <w:p w14:paraId="085E2B49" w14:textId="77777777" w:rsidR="001A1EA5" w:rsidRDefault="001A1EA5">
            <w:pPr>
              <w:autoSpaceDE w:val="0"/>
              <w:autoSpaceDN w:val="0"/>
              <w:adjustRightInd w:val="0"/>
              <w:jc w:val="center"/>
              <w:rPr>
                <w:b/>
                <w:bCs/>
                <w:sz w:val="24"/>
                <w:szCs w:val="24"/>
              </w:rPr>
            </w:pPr>
            <w:r>
              <w:rPr>
                <w:b/>
                <w:bCs/>
                <w:sz w:val="24"/>
                <w:szCs w:val="24"/>
              </w:rPr>
              <w:t>2</w:t>
            </w:r>
          </w:p>
          <w:p w14:paraId="1FAF3EF4" w14:textId="77777777" w:rsidR="001A1EA5" w:rsidRDefault="001A1EA5">
            <w:pPr>
              <w:autoSpaceDE w:val="0"/>
              <w:autoSpaceDN w:val="0"/>
              <w:adjustRightInd w:val="0"/>
              <w:jc w:val="center"/>
              <w:rPr>
                <w:sz w:val="24"/>
                <w:szCs w:val="24"/>
              </w:rPr>
            </w:pPr>
            <w:r>
              <w:rPr>
                <w:sz w:val="24"/>
                <w:szCs w:val="24"/>
              </w:rPr>
              <w:t>2 vijećnika (M)</w:t>
            </w:r>
          </w:p>
        </w:tc>
        <w:tc>
          <w:tcPr>
            <w:tcW w:w="1701" w:type="dxa"/>
            <w:tcBorders>
              <w:top w:val="single" w:sz="4" w:space="0" w:color="auto"/>
              <w:left w:val="single" w:sz="4" w:space="0" w:color="auto"/>
              <w:bottom w:val="single" w:sz="4" w:space="0" w:color="auto"/>
              <w:right w:val="single" w:sz="4" w:space="0" w:color="auto"/>
            </w:tcBorders>
            <w:hideMark/>
          </w:tcPr>
          <w:p w14:paraId="210EC94B" w14:textId="77777777" w:rsidR="001A1EA5" w:rsidRDefault="001A1EA5">
            <w:pPr>
              <w:autoSpaceDE w:val="0"/>
              <w:autoSpaceDN w:val="0"/>
              <w:adjustRightInd w:val="0"/>
              <w:jc w:val="center"/>
              <w:rPr>
                <w:sz w:val="24"/>
                <w:szCs w:val="24"/>
              </w:rPr>
            </w:pPr>
            <w:r>
              <w:rPr>
                <w:sz w:val="24"/>
                <w:szCs w:val="24"/>
              </w:rPr>
              <w:t>2.160,00</w:t>
            </w:r>
          </w:p>
        </w:tc>
      </w:tr>
      <w:tr w:rsidR="001A1EA5" w14:paraId="0D515185" w14:textId="77777777">
        <w:tc>
          <w:tcPr>
            <w:tcW w:w="4395" w:type="dxa"/>
            <w:tcBorders>
              <w:top w:val="single" w:sz="4" w:space="0" w:color="auto"/>
              <w:left w:val="single" w:sz="4" w:space="0" w:color="auto"/>
              <w:bottom w:val="single" w:sz="4" w:space="0" w:color="auto"/>
              <w:right w:val="single" w:sz="4" w:space="0" w:color="auto"/>
            </w:tcBorders>
            <w:hideMark/>
          </w:tcPr>
          <w:p w14:paraId="5B04D7A1" w14:textId="77777777" w:rsidR="001A1EA5" w:rsidRDefault="001A1EA5">
            <w:pPr>
              <w:autoSpaceDE w:val="0"/>
              <w:autoSpaceDN w:val="0"/>
              <w:adjustRightInd w:val="0"/>
              <w:jc w:val="both"/>
              <w:rPr>
                <w:sz w:val="24"/>
                <w:szCs w:val="24"/>
              </w:rPr>
            </w:pPr>
            <w:r>
              <w:rPr>
                <w:sz w:val="24"/>
                <w:szCs w:val="24"/>
              </w:rPr>
              <w:t>Nezavisna platforma sjevera – NPS</w:t>
            </w:r>
          </w:p>
        </w:tc>
        <w:tc>
          <w:tcPr>
            <w:tcW w:w="2551" w:type="dxa"/>
            <w:tcBorders>
              <w:top w:val="single" w:sz="4" w:space="0" w:color="auto"/>
              <w:left w:val="single" w:sz="4" w:space="0" w:color="auto"/>
              <w:bottom w:val="single" w:sz="4" w:space="0" w:color="auto"/>
              <w:right w:val="single" w:sz="4" w:space="0" w:color="auto"/>
            </w:tcBorders>
            <w:hideMark/>
          </w:tcPr>
          <w:p w14:paraId="63D12BF4" w14:textId="77777777" w:rsidR="001A1EA5" w:rsidRDefault="001A1EA5">
            <w:pPr>
              <w:autoSpaceDE w:val="0"/>
              <w:autoSpaceDN w:val="0"/>
              <w:adjustRightInd w:val="0"/>
              <w:jc w:val="center"/>
              <w:rPr>
                <w:b/>
                <w:bCs/>
                <w:sz w:val="24"/>
                <w:szCs w:val="24"/>
              </w:rPr>
            </w:pPr>
            <w:r>
              <w:rPr>
                <w:b/>
                <w:bCs/>
                <w:sz w:val="24"/>
                <w:szCs w:val="24"/>
              </w:rPr>
              <w:t>7</w:t>
            </w:r>
          </w:p>
          <w:p w14:paraId="6A902221" w14:textId="77777777" w:rsidR="001A1EA5" w:rsidRDefault="001A1EA5">
            <w:pPr>
              <w:autoSpaceDE w:val="0"/>
              <w:autoSpaceDN w:val="0"/>
              <w:adjustRightInd w:val="0"/>
              <w:jc w:val="center"/>
              <w:rPr>
                <w:sz w:val="24"/>
                <w:szCs w:val="24"/>
              </w:rPr>
            </w:pPr>
            <w:r>
              <w:rPr>
                <w:sz w:val="24"/>
                <w:szCs w:val="24"/>
              </w:rPr>
              <w:t>2 vijećnika (M)</w:t>
            </w:r>
          </w:p>
          <w:p w14:paraId="367A3ACF" w14:textId="77777777" w:rsidR="001A1EA5" w:rsidRDefault="001A1EA5">
            <w:pPr>
              <w:autoSpaceDE w:val="0"/>
              <w:autoSpaceDN w:val="0"/>
              <w:adjustRightInd w:val="0"/>
              <w:jc w:val="center"/>
              <w:rPr>
                <w:sz w:val="24"/>
                <w:szCs w:val="24"/>
              </w:rPr>
            </w:pPr>
            <w:r>
              <w:rPr>
                <w:sz w:val="24"/>
                <w:szCs w:val="24"/>
              </w:rPr>
              <w:t>5 vijećnice (Ž)</w:t>
            </w:r>
          </w:p>
        </w:tc>
        <w:tc>
          <w:tcPr>
            <w:tcW w:w="1701" w:type="dxa"/>
            <w:tcBorders>
              <w:top w:val="single" w:sz="4" w:space="0" w:color="auto"/>
              <w:left w:val="single" w:sz="4" w:space="0" w:color="auto"/>
              <w:bottom w:val="single" w:sz="4" w:space="0" w:color="auto"/>
              <w:right w:val="single" w:sz="4" w:space="0" w:color="auto"/>
            </w:tcBorders>
          </w:tcPr>
          <w:p w14:paraId="0A2EE37B" w14:textId="77777777" w:rsidR="001A1EA5" w:rsidRDefault="001A1EA5">
            <w:pPr>
              <w:autoSpaceDE w:val="0"/>
              <w:autoSpaceDN w:val="0"/>
              <w:adjustRightInd w:val="0"/>
              <w:jc w:val="center"/>
              <w:rPr>
                <w:sz w:val="24"/>
                <w:szCs w:val="24"/>
              </w:rPr>
            </w:pPr>
          </w:p>
          <w:p w14:paraId="43D995B6" w14:textId="77777777" w:rsidR="001A1EA5" w:rsidRDefault="001A1EA5">
            <w:pPr>
              <w:autoSpaceDE w:val="0"/>
              <w:autoSpaceDN w:val="0"/>
              <w:adjustRightInd w:val="0"/>
              <w:jc w:val="center"/>
              <w:rPr>
                <w:sz w:val="24"/>
                <w:szCs w:val="24"/>
              </w:rPr>
            </w:pPr>
            <w:r>
              <w:rPr>
                <w:sz w:val="24"/>
                <w:szCs w:val="24"/>
              </w:rPr>
              <w:t>7.560,00</w:t>
            </w:r>
          </w:p>
        </w:tc>
      </w:tr>
      <w:tr w:rsidR="001A1EA5" w14:paraId="139921B8" w14:textId="77777777">
        <w:trPr>
          <w:trHeight w:val="662"/>
        </w:trPr>
        <w:tc>
          <w:tcPr>
            <w:tcW w:w="439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3B10C19" w14:textId="77777777" w:rsidR="001A1EA5" w:rsidRDefault="001A1EA5">
            <w:pPr>
              <w:autoSpaceDE w:val="0"/>
              <w:autoSpaceDN w:val="0"/>
              <w:adjustRightInd w:val="0"/>
              <w:jc w:val="right"/>
              <w:rPr>
                <w:b/>
                <w:bCs/>
                <w:sz w:val="24"/>
                <w:szCs w:val="24"/>
              </w:rPr>
            </w:pPr>
          </w:p>
          <w:p w14:paraId="3A29D813" w14:textId="77777777" w:rsidR="001A1EA5" w:rsidRDefault="001A1EA5">
            <w:pPr>
              <w:autoSpaceDE w:val="0"/>
              <w:autoSpaceDN w:val="0"/>
              <w:adjustRightInd w:val="0"/>
              <w:jc w:val="right"/>
              <w:rPr>
                <w:b/>
                <w:bCs/>
                <w:sz w:val="24"/>
                <w:szCs w:val="24"/>
              </w:rPr>
            </w:pPr>
            <w:r>
              <w:rPr>
                <w:b/>
                <w:bCs/>
                <w:sz w:val="24"/>
                <w:szCs w:val="24"/>
              </w:rPr>
              <w:t>UKUPNO:</w:t>
            </w:r>
          </w:p>
        </w:tc>
        <w:tc>
          <w:tcPr>
            <w:tcW w:w="25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532532" w14:textId="77777777" w:rsidR="001A1EA5" w:rsidRDefault="001A1EA5">
            <w:pPr>
              <w:autoSpaceDE w:val="0"/>
              <w:autoSpaceDN w:val="0"/>
              <w:adjustRightInd w:val="0"/>
              <w:jc w:val="center"/>
              <w:rPr>
                <w:b/>
                <w:bCs/>
                <w:sz w:val="24"/>
                <w:szCs w:val="24"/>
              </w:rPr>
            </w:pPr>
            <w:r>
              <w:rPr>
                <w:b/>
                <w:bCs/>
                <w:sz w:val="24"/>
                <w:szCs w:val="24"/>
              </w:rPr>
              <w:t xml:space="preserve">15 </w:t>
            </w:r>
          </w:p>
          <w:p w14:paraId="7AC6D643" w14:textId="77777777" w:rsidR="001A1EA5" w:rsidRDefault="001A1EA5">
            <w:pPr>
              <w:autoSpaceDE w:val="0"/>
              <w:autoSpaceDN w:val="0"/>
              <w:adjustRightInd w:val="0"/>
              <w:jc w:val="center"/>
              <w:rPr>
                <w:sz w:val="24"/>
                <w:szCs w:val="24"/>
              </w:rPr>
            </w:pPr>
            <w:r>
              <w:rPr>
                <w:sz w:val="24"/>
                <w:szCs w:val="24"/>
              </w:rPr>
              <w:t>7 vijećnika (M)</w:t>
            </w:r>
          </w:p>
          <w:p w14:paraId="3916C625" w14:textId="77777777" w:rsidR="001A1EA5" w:rsidRDefault="001A1EA5">
            <w:pPr>
              <w:autoSpaceDE w:val="0"/>
              <w:autoSpaceDN w:val="0"/>
              <w:adjustRightInd w:val="0"/>
              <w:jc w:val="center"/>
              <w:rPr>
                <w:b/>
                <w:bCs/>
                <w:sz w:val="24"/>
                <w:szCs w:val="24"/>
              </w:rPr>
            </w:pPr>
            <w:r>
              <w:rPr>
                <w:sz w:val="24"/>
                <w:szCs w:val="24"/>
              </w:rPr>
              <w:t>8 vijećnica (Ž)</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9BC5262" w14:textId="77777777" w:rsidR="001A1EA5" w:rsidRDefault="001A1EA5">
            <w:pPr>
              <w:autoSpaceDE w:val="0"/>
              <w:autoSpaceDN w:val="0"/>
              <w:adjustRightInd w:val="0"/>
              <w:jc w:val="center"/>
              <w:rPr>
                <w:b/>
                <w:bCs/>
                <w:sz w:val="24"/>
                <w:szCs w:val="24"/>
              </w:rPr>
            </w:pPr>
          </w:p>
          <w:p w14:paraId="08B14462" w14:textId="77777777" w:rsidR="001A1EA5" w:rsidRDefault="001A1EA5">
            <w:pPr>
              <w:autoSpaceDE w:val="0"/>
              <w:autoSpaceDN w:val="0"/>
              <w:adjustRightInd w:val="0"/>
              <w:jc w:val="center"/>
              <w:rPr>
                <w:b/>
                <w:bCs/>
                <w:sz w:val="24"/>
                <w:szCs w:val="24"/>
              </w:rPr>
            </w:pPr>
            <w:r>
              <w:rPr>
                <w:b/>
                <w:bCs/>
                <w:sz w:val="24"/>
                <w:szCs w:val="24"/>
              </w:rPr>
              <w:t>16.200,00</w:t>
            </w:r>
          </w:p>
        </w:tc>
      </w:tr>
    </w:tbl>
    <w:p w14:paraId="74AF5992" w14:textId="77777777" w:rsidR="001A1EA5" w:rsidRDefault="001A1EA5" w:rsidP="001A1EA5">
      <w:pPr>
        <w:tabs>
          <w:tab w:val="left" w:pos="993"/>
          <w:tab w:val="left" w:pos="1276"/>
        </w:tabs>
        <w:jc w:val="both"/>
        <w:rPr>
          <w:rStyle w:val="preformatted-text"/>
          <w:rFonts w:eastAsiaTheme="majorEastAsia"/>
        </w:rPr>
      </w:pPr>
    </w:p>
    <w:p w14:paraId="060C2C0E" w14:textId="77777777" w:rsidR="001A1EA5" w:rsidRDefault="001A1EA5" w:rsidP="001A1EA5">
      <w:pPr>
        <w:tabs>
          <w:tab w:val="left" w:pos="993"/>
          <w:tab w:val="left" w:pos="1276"/>
        </w:tabs>
        <w:jc w:val="both"/>
        <w:rPr>
          <w:rStyle w:val="preformatted-text"/>
          <w:rFonts w:eastAsiaTheme="majorEastAsia"/>
        </w:rPr>
      </w:pPr>
    </w:p>
    <w:p w14:paraId="1C02CBDC" w14:textId="77777777" w:rsidR="001A1EA5" w:rsidRDefault="001A1EA5" w:rsidP="001A1EA5">
      <w:pPr>
        <w:tabs>
          <w:tab w:val="right" w:pos="8222"/>
        </w:tabs>
        <w:jc w:val="both"/>
        <w:rPr>
          <w:rFonts w:eastAsiaTheme="majorEastAsia"/>
        </w:rPr>
      </w:pPr>
      <w:r>
        <w:rPr>
          <w:rStyle w:val="markedcontent"/>
          <w:rFonts w:eastAsiaTheme="majorEastAsia"/>
        </w:rPr>
        <w:t>Raspoređena sredstva za redovito financiranje političkih stranaka doznačuju se tromjesečno u jednakim iznosima na žiroračun političke stranke, a ukoliko</w:t>
      </w:r>
      <w:r>
        <w:t xml:space="preserve"> se početak ili završetak mandata ne poklapaju s početkom ili završetkom tromjesečja, u tom se tromjesečju isplaćuje iznos razmjeran broju dana trajanja mandata.</w:t>
      </w:r>
    </w:p>
    <w:p w14:paraId="3253884C" w14:textId="77777777" w:rsidR="001A1EA5" w:rsidRDefault="001A1EA5" w:rsidP="001A1EA5">
      <w:pPr>
        <w:tabs>
          <w:tab w:val="right" w:pos="8222"/>
        </w:tabs>
        <w:jc w:val="both"/>
      </w:pPr>
    </w:p>
    <w:p w14:paraId="49A08920" w14:textId="77777777" w:rsidR="001A1EA5" w:rsidRDefault="001A1EA5" w:rsidP="001A1EA5">
      <w:pPr>
        <w:tabs>
          <w:tab w:val="left" w:pos="993"/>
          <w:tab w:val="left" w:pos="1276"/>
        </w:tabs>
        <w:jc w:val="both"/>
        <w:rPr>
          <w:rStyle w:val="markedcontent"/>
          <w:rFonts w:eastAsiaTheme="majorEastAsia"/>
        </w:rPr>
      </w:pPr>
      <w:r>
        <w:rPr>
          <w:rStyle w:val="markedcontent"/>
          <w:rFonts w:eastAsiaTheme="majorEastAsia"/>
        </w:rPr>
        <w:t>Odredbom članka 10. stavak 4. Zakona propisana je obveza dostave predmetne Odluke Državnom izbornom povjerenstvu najkasnije u roku od 15 dana od dana njezinog stupanja na snagu, s naznakom broja i datuma objave službenog glasila u kojem je objavljena.</w:t>
      </w:r>
    </w:p>
    <w:p w14:paraId="2EB96F56" w14:textId="77777777" w:rsidR="001A1EA5" w:rsidRDefault="001A1EA5" w:rsidP="001A1EA5">
      <w:pPr>
        <w:tabs>
          <w:tab w:val="left" w:pos="993"/>
          <w:tab w:val="left" w:pos="1276"/>
        </w:tabs>
        <w:jc w:val="both"/>
        <w:rPr>
          <w:rStyle w:val="markedcontent"/>
          <w:rFonts w:eastAsiaTheme="majorEastAsia"/>
        </w:rPr>
      </w:pPr>
    </w:p>
    <w:p w14:paraId="1AF10080" w14:textId="77777777" w:rsidR="001A1EA5" w:rsidRDefault="001A1EA5" w:rsidP="001A1EA5">
      <w:pPr>
        <w:tabs>
          <w:tab w:val="left" w:pos="993"/>
          <w:tab w:val="left" w:pos="1276"/>
        </w:tabs>
        <w:jc w:val="both"/>
        <w:rPr>
          <w:rStyle w:val="markedcontent"/>
          <w:rFonts w:eastAsiaTheme="majorEastAsia"/>
        </w:rPr>
      </w:pPr>
      <w:r>
        <w:rPr>
          <w:rStyle w:val="markedcontent"/>
          <w:rFonts w:eastAsiaTheme="majorEastAsia"/>
        </w:rPr>
        <w:t>Jedinice lokalne samouprave dužne su u skladu s odredbom članka 11. stavak 3. Zakona, najkasnije do 01. ožujka tekuće godine za prethodnu godinu objaviti na svojim mrežnim stranicama izvješće o iznosu raspoređenih i isplaćenih sredstava iz svog proračuna za redovito godišnje financiranje svake političke stranke i nezavisnog vijećnika zastupljenog u Gradskom vijeću.</w:t>
      </w:r>
    </w:p>
    <w:p w14:paraId="2AACE234" w14:textId="77777777" w:rsidR="001A1EA5" w:rsidRDefault="001A1EA5" w:rsidP="001A1EA5">
      <w:pPr>
        <w:tabs>
          <w:tab w:val="right" w:pos="8222"/>
        </w:tabs>
        <w:jc w:val="both"/>
        <w:rPr>
          <w:rStyle w:val="markedcontent"/>
          <w:rFonts w:eastAsiaTheme="majorEastAsia"/>
        </w:rPr>
      </w:pPr>
    </w:p>
    <w:p w14:paraId="456EA51B" w14:textId="77777777" w:rsidR="001A1EA5" w:rsidRDefault="001A1EA5" w:rsidP="001A1EA5">
      <w:pPr>
        <w:tabs>
          <w:tab w:val="left" w:pos="993"/>
        </w:tabs>
        <w:jc w:val="both"/>
        <w:rPr>
          <w:rFonts w:eastAsiaTheme="majorEastAsia"/>
        </w:rPr>
      </w:pPr>
      <w:r>
        <w:t>Temeljem iznijetog, predlaže se Gradskom vijeću Grada Ivanca donošenje predmetne Odluke u tekstu kako je predloženo.</w:t>
      </w:r>
    </w:p>
    <w:p w14:paraId="40C0C9D6" w14:textId="77777777" w:rsidR="001A1EA5" w:rsidRDefault="001A1EA5" w:rsidP="001A1EA5">
      <w:pPr>
        <w:tabs>
          <w:tab w:val="left" w:pos="993"/>
        </w:tabs>
        <w:jc w:val="both"/>
      </w:pPr>
    </w:p>
    <w:p w14:paraId="3F0BE617" w14:textId="77777777" w:rsidR="001A1EA5" w:rsidRDefault="001A1EA5" w:rsidP="001A1EA5">
      <w:pPr>
        <w:tabs>
          <w:tab w:val="left" w:pos="993"/>
        </w:tabs>
        <w:jc w:val="both"/>
      </w:pPr>
    </w:p>
    <w:p w14:paraId="4686E7E8" w14:textId="77777777" w:rsidR="001A1EA5" w:rsidRDefault="001A1EA5" w:rsidP="001A1EA5">
      <w:pPr>
        <w:ind w:left="3540" w:firstLine="708"/>
      </w:pPr>
      <w:r>
        <w:t>Služba za pravne poslove i javnu nabavu</w:t>
      </w:r>
    </w:p>
    <w:p w14:paraId="407B8A2B" w14:textId="77777777" w:rsidR="001A1EA5" w:rsidRDefault="001A1EA5" w:rsidP="001A1EA5"/>
    <w:p w14:paraId="5E707A1F" w14:textId="77777777" w:rsidR="001A1EA5" w:rsidRDefault="001A1EA5" w:rsidP="001A1EA5">
      <w:pPr>
        <w:ind w:left="3540" w:firstLine="708"/>
      </w:pPr>
    </w:p>
    <w:p w14:paraId="1C09E3AF" w14:textId="77777777" w:rsidR="001A1EA5" w:rsidRDefault="001A1EA5" w:rsidP="001A1EA5"/>
    <w:p w14:paraId="4270840B" w14:textId="77777777" w:rsidR="001A1EA5" w:rsidRDefault="001A1EA5" w:rsidP="001A1EA5">
      <w:pPr>
        <w:spacing w:line="240" w:lineRule="atLeast"/>
        <w:jc w:val="center"/>
        <w:rPr>
          <w:sz w:val="24"/>
          <w:szCs w:val="24"/>
        </w:rPr>
      </w:pPr>
    </w:p>
    <w:p w14:paraId="7186812B" w14:textId="77777777" w:rsidR="001A1EA5" w:rsidRDefault="001A1EA5" w:rsidP="001A1EA5">
      <w:pPr>
        <w:spacing w:line="240" w:lineRule="atLeast"/>
        <w:jc w:val="center"/>
        <w:rPr>
          <w:sz w:val="24"/>
          <w:szCs w:val="24"/>
        </w:rPr>
      </w:pPr>
    </w:p>
    <w:p w14:paraId="50165365" w14:textId="77777777" w:rsidR="001A1EA5" w:rsidRDefault="001A1EA5" w:rsidP="001A1EA5">
      <w:pPr>
        <w:spacing w:line="240" w:lineRule="atLeast"/>
        <w:jc w:val="center"/>
        <w:rPr>
          <w:sz w:val="24"/>
          <w:szCs w:val="24"/>
        </w:rPr>
      </w:pPr>
    </w:p>
    <w:p w14:paraId="3F7CC194" w14:textId="77777777" w:rsidR="00E87032" w:rsidRDefault="00E87032"/>
    <w:sectPr w:rsidR="00E870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32"/>
    <w:rsid w:val="001A1EA5"/>
    <w:rsid w:val="00E87032"/>
    <w:rsid w:val="00F51F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D0901-A529-42F4-B1DF-B6629906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EA5"/>
    <w:pPr>
      <w:spacing w:after="0" w:line="240" w:lineRule="auto"/>
    </w:pPr>
    <w:rPr>
      <w:rFonts w:ascii="Times New Roman" w:eastAsia="Times New Roman" w:hAnsi="Times New Roman" w:cs="Times New Roman"/>
      <w:kern w:val="0"/>
      <w:sz w:val="22"/>
      <w:szCs w:val="20"/>
      <w:lang w:eastAsia="hr-HR"/>
      <w14:ligatures w14:val="none"/>
    </w:rPr>
  </w:style>
  <w:style w:type="paragraph" w:styleId="Naslov1">
    <w:name w:val="heading 1"/>
    <w:basedOn w:val="Normal"/>
    <w:next w:val="Normal"/>
    <w:link w:val="Naslov1Char"/>
    <w:uiPriority w:val="9"/>
    <w:qFormat/>
    <w:rsid w:val="00E8703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Naslov2">
    <w:name w:val="heading 2"/>
    <w:basedOn w:val="Normal"/>
    <w:next w:val="Normal"/>
    <w:link w:val="Naslov2Char"/>
    <w:uiPriority w:val="9"/>
    <w:semiHidden/>
    <w:unhideWhenUsed/>
    <w:qFormat/>
    <w:rsid w:val="00E8703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Naslov3">
    <w:name w:val="heading 3"/>
    <w:basedOn w:val="Normal"/>
    <w:next w:val="Normal"/>
    <w:link w:val="Naslov3Char"/>
    <w:uiPriority w:val="9"/>
    <w:semiHidden/>
    <w:unhideWhenUsed/>
    <w:qFormat/>
    <w:rsid w:val="00E8703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Naslov4">
    <w:name w:val="heading 4"/>
    <w:basedOn w:val="Normal"/>
    <w:next w:val="Normal"/>
    <w:link w:val="Naslov4Char"/>
    <w:uiPriority w:val="9"/>
    <w:semiHidden/>
    <w:unhideWhenUsed/>
    <w:qFormat/>
    <w:rsid w:val="00E87032"/>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Naslov5">
    <w:name w:val="heading 5"/>
    <w:basedOn w:val="Normal"/>
    <w:next w:val="Normal"/>
    <w:link w:val="Naslov5Char"/>
    <w:uiPriority w:val="9"/>
    <w:semiHidden/>
    <w:unhideWhenUsed/>
    <w:qFormat/>
    <w:rsid w:val="00E87032"/>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Naslov6">
    <w:name w:val="heading 6"/>
    <w:basedOn w:val="Normal"/>
    <w:next w:val="Normal"/>
    <w:link w:val="Naslov6Char"/>
    <w:uiPriority w:val="9"/>
    <w:semiHidden/>
    <w:unhideWhenUsed/>
    <w:qFormat/>
    <w:rsid w:val="00E8703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Naslov7">
    <w:name w:val="heading 7"/>
    <w:basedOn w:val="Normal"/>
    <w:next w:val="Normal"/>
    <w:link w:val="Naslov7Char"/>
    <w:uiPriority w:val="9"/>
    <w:semiHidden/>
    <w:unhideWhenUsed/>
    <w:qFormat/>
    <w:rsid w:val="00E8703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Naslov8">
    <w:name w:val="heading 8"/>
    <w:basedOn w:val="Normal"/>
    <w:next w:val="Normal"/>
    <w:link w:val="Naslov8Char"/>
    <w:uiPriority w:val="9"/>
    <w:semiHidden/>
    <w:unhideWhenUsed/>
    <w:qFormat/>
    <w:rsid w:val="00E8703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Naslov9">
    <w:name w:val="heading 9"/>
    <w:basedOn w:val="Normal"/>
    <w:next w:val="Normal"/>
    <w:link w:val="Naslov9Char"/>
    <w:uiPriority w:val="9"/>
    <w:semiHidden/>
    <w:unhideWhenUsed/>
    <w:qFormat/>
    <w:rsid w:val="00E87032"/>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87032"/>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E87032"/>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E87032"/>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E87032"/>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E87032"/>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E87032"/>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E87032"/>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E87032"/>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E87032"/>
    <w:rPr>
      <w:rFonts w:eastAsiaTheme="majorEastAsia" w:cstheme="majorBidi"/>
      <w:color w:val="272727" w:themeColor="text1" w:themeTint="D8"/>
    </w:rPr>
  </w:style>
  <w:style w:type="paragraph" w:styleId="Naslov">
    <w:name w:val="Title"/>
    <w:basedOn w:val="Normal"/>
    <w:next w:val="Normal"/>
    <w:link w:val="NaslovChar"/>
    <w:uiPriority w:val="10"/>
    <w:qFormat/>
    <w:rsid w:val="00E8703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aslovChar">
    <w:name w:val="Naslov Char"/>
    <w:basedOn w:val="Zadanifontodlomka"/>
    <w:link w:val="Naslov"/>
    <w:uiPriority w:val="10"/>
    <w:rsid w:val="00E87032"/>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E8703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naslovChar">
    <w:name w:val="Podnaslov Char"/>
    <w:basedOn w:val="Zadanifontodlomka"/>
    <w:link w:val="Podnaslov"/>
    <w:uiPriority w:val="11"/>
    <w:rsid w:val="00E87032"/>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87032"/>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tChar">
    <w:name w:val="Citat Char"/>
    <w:basedOn w:val="Zadanifontodlomka"/>
    <w:link w:val="Citat"/>
    <w:uiPriority w:val="29"/>
    <w:rsid w:val="00E87032"/>
    <w:rPr>
      <w:i/>
      <w:iCs/>
      <w:color w:val="404040" w:themeColor="text1" w:themeTint="BF"/>
    </w:rPr>
  </w:style>
  <w:style w:type="paragraph" w:styleId="Odlomakpopisa">
    <w:name w:val="List Paragraph"/>
    <w:basedOn w:val="Normal"/>
    <w:uiPriority w:val="34"/>
    <w:qFormat/>
    <w:rsid w:val="00E87032"/>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Jakoisticanje">
    <w:name w:val="Intense Emphasis"/>
    <w:basedOn w:val="Zadanifontodlomka"/>
    <w:uiPriority w:val="21"/>
    <w:qFormat/>
    <w:rsid w:val="00E87032"/>
    <w:rPr>
      <w:i/>
      <w:iCs/>
      <w:color w:val="2F5496" w:themeColor="accent1" w:themeShade="BF"/>
    </w:rPr>
  </w:style>
  <w:style w:type="paragraph" w:styleId="Naglaencitat">
    <w:name w:val="Intense Quote"/>
    <w:basedOn w:val="Normal"/>
    <w:next w:val="Normal"/>
    <w:link w:val="NaglaencitatChar"/>
    <w:uiPriority w:val="30"/>
    <w:qFormat/>
    <w:rsid w:val="00E8703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NaglaencitatChar">
    <w:name w:val="Naglašen citat Char"/>
    <w:basedOn w:val="Zadanifontodlomka"/>
    <w:link w:val="Naglaencitat"/>
    <w:uiPriority w:val="30"/>
    <w:rsid w:val="00E87032"/>
    <w:rPr>
      <w:i/>
      <w:iCs/>
      <w:color w:val="2F5496" w:themeColor="accent1" w:themeShade="BF"/>
    </w:rPr>
  </w:style>
  <w:style w:type="character" w:styleId="Istaknutareferenca">
    <w:name w:val="Intense Reference"/>
    <w:basedOn w:val="Zadanifontodlomka"/>
    <w:uiPriority w:val="32"/>
    <w:qFormat/>
    <w:rsid w:val="00E87032"/>
    <w:rPr>
      <w:b/>
      <w:bCs/>
      <w:smallCaps/>
      <w:color w:val="2F5496" w:themeColor="accent1" w:themeShade="BF"/>
      <w:spacing w:val="5"/>
    </w:rPr>
  </w:style>
  <w:style w:type="character" w:customStyle="1" w:styleId="preformatted-text">
    <w:name w:val="preformatted-text"/>
    <w:basedOn w:val="Zadanifontodlomka"/>
    <w:rsid w:val="001A1EA5"/>
  </w:style>
  <w:style w:type="character" w:customStyle="1" w:styleId="markedcontent">
    <w:name w:val="markedcontent"/>
    <w:basedOn w:val="Zadanifontodlomka"/>
    <w:rsid w:val="001A1EA5"/>
  </w:style>
  <w:style w:type="table" w:styleId="Reetkatablice">
    <w:name w:val="Table Grid"/>
    <w:basedOn w:val="Obinatablica"/>
    <w:rsid w:val="001A1EA5"/>
    <w:pPr>
      <w:spacing w:after="0" w:line="240" w:lineRule="auto"/>
    </w:pPr>
    <w:rPr>
      <w:rFonts w:ascii="Times New Roman" w:eastAsia="Times New Roman" w:hAnsi="Times New Roman" w:cs="Times New Roman"/>
      <w:kern w:val="0"/>
      <w:sz w:val="20"/>
      <w:szCs w:val="20"/>
      <w:lang w:eastAsia="hr-H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807</Words>
  <Characters>4601</Characters>
  <Application>Microsoft Office Word</Application>
  <DocSecurity>0</DocSecurity>
  <Lines>38</Lines>
  <Paragraphs>10</Paragraphs>
  <ScaleCrop>false</ScaleCrop>
  <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Gordana Mošmondor</dc:creator>
  <cp:keywords/>
  <dc:description/>
  <cp:lastModifiedBy>Gordana Mošmondor</cp:lastModifiedBy>
  <cp:revision>2</cp:revision>
  <dcterms:created xsi:type="dcterms:W3CDTF">2025-11-04T07:59:00Z</dcterms:created>
  <dcterms:modified xsi:type="dcterms:W3CDTF">2025-11-04T07:59:00Z</dcterms:modified>
</cp:coreProperties>
</file>