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4C" w:rsidRPr="0046621B" w:rsidRDefault="00E011F5" w:rsidP="007C0DC4">
      <w:pPr>
        <w:spacing w:line="360" w:lineRule="auto"/>
        <w:jc w:val="center"/>
        <w:rPr>
          <w:b/>
          <w:sz w:val="28"/>
          <w:szCs w:val="28"/>
        </w:rPr>
      </w:pPr>
      <w:r w:rsidRPr="0046621B">
        <w:rPr>
          <w:b/>
          <w:sz w:val="28"/>
          <w:szCs w:val="28"/>
        </w:rPr>
        <w:t xml:space="preserve">OBRAZLOŽENJE UZ </w:t>
      </w:r>
      <w:r w:rsidR="0046444C" w:rsidRPr="0046621B">
        <w:rPr>
          <w:b/>
          <w:sz w:val="28"/>
          <w:szCs w:val="28"/>
        </w:rPr>
        <w:t>ODLUKU</w:t>
      </w:r>
    </w:p>
    <w:p w:rsidR="0046444C" w:rsidRPr="0046621B" w:rsidRDefault="00B40430" w:rsidP="007C0D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VISINI KOMUNALNE NAKNADE U GRADU IVANCU</w:t>
      </w:r>
    </w:p>
    <w:p w:rsidR="0046444C" w:rsidRDefault="0046444C" w:rsidP="00E011F5">
      <w:pPr>
        <w:autoSpaceDE w:val="0"/>
        <w:autoSpaceDN w:val="0"/>
        <w:adjustRightInd w:val="0"/>
        <w:ind w:firstLine="708"/>
        <w:jc w:val="both"/>
      </w:pPr>
    </w:p>
    <w:p w:rsidR="0046444C" w:rsidRDefault="0046444C" w:rsidP="00E011F5">
      <w:pPr>
        <w:autoSpaceDE w:val="0"/>
        <w:autoSpaceDN w:val="0"/>
        <w:adjustRightInd w:val="0"/>
        <w:ind w:firstLine="708"/>
        <w:jc w:val="both"/>
      </w:pPr>
    </w:p>
    <w:p w:rsidR="00C0269A" w:rsidRDefault="00C0269A" w:rsidP="00625A00">
      <w:pPr>
        <w:autoSpaceDE w:val="0"/>
        <w:autoSpaceDN w:val="0"/>
        <w:adjustRightInd w:val="0"/>
        <w:ind w:firstLine="708"/>
        <w:jc w:val="both"/>
      </w:pPr>
    </w:p>
    <w:p w:rsidR="00354868" w:rsidRPr="007C0DC4" w:rsidRDefault="00354868" w:rsidP="00354868">
      <w:pPr>
        <w:autoSpaceDE w:val="0"/>
        <w:autoSpaceDN w:val="0"/>
        <w:adjustRightInd w:val="0"/>
        <w:ind w:firstLine="708"/>
        <w:jc w:val="both"/>
      </w:pPr>
      <w:r w:rsidRPr="007C0DC4">
        <w:t>Sukladno Zakonu o komunalnom gospodarstvu (“Narodne novine” br. 36/95, 70/97, 128/99, 57/00, 59/01, 26/03 – pročišćeni tekst, 82/04, 110/04 - Uredba, 178/04, 38/09, 79/09, 153/09, 49/11, 144/12, 94/13, 153/13, 147/14, 36/15) komunalna naknada prihod je proračuna jedinice lokalne samouprave, a sredstva komunalne naknade namijenjena su financiranju obavljanja sljedećih djelatnosti: odvodnja atmosferskih voda, održavanje čistoće u dijelu koji se odnosi na čišćenje javnih površina, održavanje javnih površina, održavanje nerazvrstanih cesta, održavanje groblja i krematorija i javna rasvjeta. Sredstva komunalne naknade namijenjena su također i financiranju građenja objekata i uređaja komunalne infrastrukture, a mogu se odlukom predstavničkog tijela jedinice lokalne samouprave upotrijebiti i u svrhu građenja i održavanja objekata predškolskog, školskog, zdravstvenog i socijalnog sadržaja, financiranja građenja i održavanja javnih građevina sportske i kulturne namjene i poboljšanja energetske učinkovitosti zgrada u vlasništvu jedinice lokalne samouprave.</w:t>
      </w:r>
    </w:p>
    <w:p w:rsidR="00742C76" w:rsidRPr="007C0DC4" w:rsidRDefault="00742C76" w:rsidP="00354868">
      <w:pPr>
        <w:autoSpaceDE w:val="0"/>
        <w:autoSpaceDN w:val="0"/>
        <w:adjustRightInd w:val="0"/>
        <w:ind w:firstLine="708"/>
        <w:jc w:val="both"/>
      </w:pPr>
    </w:p>
    <w:p w:rsidR="00354868" w:rsidRPr="007C0DC4" w:rsidRDefault="00354868" w:rsidP="00354868">
      <w:pPr>
        <w:autoSpaceDE w:val="0"/>
        <w:autoSpaceDN w:val="0"/>
        <w:adjustRightInd w:val="0"/>
        <w:ind w:firstLine="708"/>
        <w:jc w:val="both"/>
      </w:pPr>
      <w:r w:rsidRPr="007C0DC4">
        <w:t>Komunalnu naknadu plaćaju vlasnici</w:t>
      </w:r>
      <w:r w:rsidR="002357D9">
        <w:t>,</w:t>
      </w:r>
      <w:r w:rsidRPr="007C0DC4">
        <w:t xml:space="preserve"> odnosno</w:t>
      </w:r>
      <w:r w:rsidR="002357D9">
        <w:t>, korisnici</w:t>
      </w:r>
      <w:r w:rsidRPr="007C0DC4">
        <w:t xml:space="preserve"> stambenog prostora, poslovnog prostora, garažnog prostora, građevnog zemljišta koje služi u svrhu obavljanja poslovne djelatnosti i neizgrađenoga građevnog zemljišta. Komunalna naknada obračunava se po m2 površine, a iznos komunaln</w:t>
      </w:r>
      <w:r w:rsidR="002357D9">
        <w:t>e naknade utvrđuje se množenjem</w:t>
      </w:r>
      <w:r w:rsidRPr="007C0DC4">
        <w:t xml:space="preserve"> vrijednosti obračunske jedinice – boda, određene u kunama po m2, koeficijenta zone i koeficijenta namjene. </w:t>
      </w:r>
    </w:p>
    <w:p w:rsidR="00C0269A" w:rsidRDefault="00C0269A" w:rsidP="00625A00">
      <w:pPr>
        <w:autoSpaceDE w:val="0"/>
        <w:autoSpaceDN w:val="0"/>
        <w:adjustRightInd w:val="0"/>
        <w:ind w:firstLine="708"/>
        <w:jc w:val="both"/>
      </w:pPr>
    </w:p>
    <w:p w:rsidR="00F370D6" w:rsidRPr="007C0DC4" w:rsidRDefault="00F370D6" w:rsidP="00625A00">
      <w:pPr>
        <w:autoSpaceDE w:val="0"/>
        <w:autoSpaceDN w:val="0"/>
        <w:adjustRightInd w:val="0"/>
        <w:ind w:firstLine="708"/>
        <w:jc w:val="both"/>
      </w:pPr>
    </w:p>
    <w:p w:rsidR="001C4C25" w:rsidRPr="007C0DC4" w:rsidRDefault="00625A00" w:rsidP="0046621B">
      <w:pPr>
        <w:autoSpaceDE w:val="0"/>
        <w:autoSpaceDN w:val="0"/>
        <w:adjustRightInd w:val="0"/>
        <w:jc w:val="both"/>
      </w:pPr>
      <w:r w:rsidRPr="007C0DC4">
        <w:tab/>
      </w:r>
      <w:r w:rsidR="00B40430" w:rsidRPr="007C0DC4">
        <w:t>Odlukom o visini komunalne naknade u Gradu Ivancu („Službeni vjesnik Varaždinske županije“ 22/00) određena je vrijednost boda koja je osnova za obraču</w:t>
      </w:r>
      <w:r w:rsidR="002357D9">
        <w:t>n visine komunalne naknade, a</w:t>
      </w:r>
      <w:r w:rsidR="00B40430" w:rsidRPr="007C0DC4">
        <w:t xml:space="preserve"> iznosi 0,32 kn. Navedena Odluka na snazi je još od 2000. godine</w:t>
      </w:r>
      <w:r w:rsidR="002357D9">
        <w:t xml:space="preserve"> i nijednom dosad </w:t>
      </w:r>
      <w:r w:rsidR="00B40430" w:rsidRPr="007C0DC4">
        <w:t>nije mijenjana.</w:t>
      </w:r>
    </w:p>
    <w:p w:rsidR="00EE23D0" w:rsidRPr="007C0DC4" w:rsidRDefault="00EE23D0" w:rsidP="0046621B">
      <w:pPr>
        <w:autoSpaceDE w:val="0"/>
        <w:autoSpaceDN w:val="0"/>
        <w:adjustRightInd w:val="0"/>
        <w:jc w:val="both"/>
      </w:pPr>
    </w:p>
    <w:p w:rsidR="00B355B4" w:rsidRDefault="00EE23D0" w:rsidP="00321B46">
      <w:pPr>
        <w:autoSpaceDE w:val="0"/>
        <w:autoSpaceDN w:val="0"/>
        <w:adjustRightInd w:val="0"/>
        <w:ind w:firstLine="708"/>
        <w:jc w:val="both"/>
      </w:pPr>
      <w:r w:rsidRPr="007C0DC4">
        <w:t xml:space="preserve">Uvidom u statističke podatke u službenim evidencijama Grada Ivanca, vidljivo je </w:t>
      </w:r>
      <w:r w:rsidR="00B355B4">
        <w:t>da je sam program održavanja komunalne infrastrukture znatno uvećan</w:t>
      </w:r>
      <w:r w:rsidR="002357D9">
        <w:t>. U odnosu na 2001. godinu, otkad se primjenjuje gore navedena vrijednost boda (podaci u priloženoj tablici), u 2014. godini program je dvostruko veći.</w:t>
      </w:r>
    </w:p>
    <w:p w:rsidR="00B355B4" w:rsidRPr="007C0DC4" w:rsidRDefault="002357D9" w:rsidP="00720A04">
      <w:pPr>
        <w:autoSpaceDE w:val="0"/>
        <w:autoSpaceDN w:val="0"/>
        <w:adjustRightInd w:val="0"/>
        <w:jc w:val="both"/>
      </w:pPr>
      <w:r>
        <w:t xml:space="preserve">            </w:t>
      </w:r>
      <w:r w:rsidR="00720A04">
        <w:t>Z</w:t>
      </w:r>
      <w:r w:rsidR="00B355B4">
        <w:t xml:space="preserve">a </w:t>
      </w:r>
      <w:r w:rsidR="00B355B4" w:rsidRPr="002357D9">
        <w:rPr>
          <w:b/>
        </w:rPr>
        <w:t>čišćenje i od</w:t>
      </w:r>
      <w:r w:rsidR="00720A04" w:rsidRPr="002357D9">
        <w:rPr>
          <w:b/>
        </w:rPr>
        <w:t>ržavanje javnih površina</w:t>
      </w:r>
      <w:r w:rsidR="00720A04">
        <w:t xml:space="preserve"> 2001. g</w:t>
      </w:r>
      <w:r w:rsidR="00B355B4">
        <w:t>odine bilo je potrebno 255.000,00 kuna</w:t>
      </w:r>
      <w:r>
        <w:t>.</w:t>
      </w:r>
      <w:r w:rsidR="00B355B4">
        <w:t xml:space="preserve"> </w:t>
      </w:r>
      <w:r>
        <w:t>U 2014. za te je troškove izdvojeno 696.085,03 kn ili gotovo triput više.</w:t>
      </w:r>
      <w:r w:rsidR="00B355B4">
        <w:t xml:space="preserve"> Iznos potrebnih sredstava za </w:t>
      </w:r>
      <w:r w:rsidR="00B355B4" w:rsidRPr="002357D9">
        <w:rPr>
          <w:b/>
        </w:rPr>
        <w:t>održavanje nerazvrstanih cesta i zimsku službu</w:t>
      </w:r>
      <w:r w:rsidR="00B355B4">
        <w:t xml:space="preserve"> iz godine u godinu varira, a </w:t>
      </w:r>
      <w:r>
        <w:t>podaci</w:t>
      </w:r>
      <w:r w:rsidR="00B355B4">
        <w:t xml:space="preserve"> unazad sedam godina </w:t>
      </w:r>
      <w:r>
        <w:t xml:space="preserve">pokazuju da je za održavanje </w:t>
      </w:r>
      <w:r w:rsidR="00B355B4">
        <w:t xml:space="preserve">potrebno osigurati preko milijun kuna. </w:t>
      </w:r>
    </w:p>
    <w:p w:rsidR="002357D9" w:rsidRDefault="002357D9" w:rsidP="002357D9">
      <w:pPr>
        <w:autoSpaceDE w:val="0"/>
        <w:autoSpaceDN w:val="0"/>
        <w:adjustRightInd w:val="0"/>
      </w:pPr>
      <w:r>
        <w:t xml:space="preserve">           </w:t>
      </w:r>
      <w:r w:rsidRPr="00D34AF7">
        <w:t>Nadalje, osobito na primjeru javne rasvjete, vidljivo je</w:t>
      </w:r>
      <w:r>
        <w:t xml:space="preserve"> da su se izdaci za</w:t>
      </w:r>
      <w:r w:rsidRPr="00D34AF7">
        <w:t xml:space="preserve"> potrošnj</w:t>
      </w:r>
      <w:r>
        <w:t>u električne energije</w:t>
      </w:r>
      <w:r w:rsidRPr="00D34AF7">
        <w:t xml:space="preserve"> i održavanje </w:t>
      </w:r>
      <w:r>
        <w:t>rasvjete tijekom godina znatno povećali. Uz rast cijena</w:t>
      </w:r>
      <w:r w:rsidRPr="00D34AF7">
        <w:t xml:space="preserve"> električne energije </w:t>
      </w:r>
      <w:r>
        <w:t>povećana je i stopa PDV-a pa je</w:t>
      </w:r>
      <w:r w:rsidRPr="00D34AF7">
        <w:t xml:space="preserve"> 2009. godine potrošnja električne energije za javnu rasvjetu iznosila 1.074,260,80</w:t>
      </w:r>
      <w:r>
        <w:t xml:space="preserve"> kn</w:t>
      </w:r>
      <w:r w:rsidRPr="00D34AF7">
        <w:t>. Te iste godine uveden je sustav štedne rasvjete na vanjskim područjima grada</w:t>
      </w:r>
      <w:r>
        <w:t xml:space="preserve">. </w:t>
      </w:r>
    </w:p>
    <w:p w:rsidR="002357D9" w:rsidRDefault="002357D9" w:rsidP="002357D9">
      <w:pPr>
        <w:autoSpaceDE w:val="0"/>
        <w:autoSpaceDN w:val="0"/>
        <w:adjustRightInd w:val="0"/>
        <w:sectPr w:rsidR="002357D9" w:rsidSect="007C0DC4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t xml:space="preserve">                   Iz</w:t>
      </w:r>
      <w:r w:rsidRPr="00D34AF7">
        <w:t xml:space="preserve"> priloženih podataka vid</w:t>
      </w:r>
      <w:r>
        <w:t xml:space="preserve">ljivo je da je uvođenje štedne rasvjete polučilo pozitivne efekte te da je njome za oko 20 % </w:t>
      </w:r>
      <w:r w:rsidRPr="00D34AF7">
        <w:t xml:space="preserve">smanjen iznos potrebnih sredstava za javnu rasvjetu. </w:t>
      </w:r>
      <w:r>
        <w:t>No, kako je u međuvremenu sagrađena nova javna rasvjeta te su montirana nova rasvjetna tijela i dalje je za</w:t>
      </w:r>
      <w:r w:rsidRPr="00D34AF7">
        <w:t xml:space="preserve"> potrošnju električne energije </w:t>
      </w:r>
      <w:r>
        <w:t xml:space="preserve">svake godine </w:t>
      </w:r>
      <w:r w:rsidRPr="00D34AF7">
        <w:t>potrebno osig</w:t>
      </w:r>
      <w:r>
        <w:t xml:space="preserve">urati iznos od oko </w:t>
      </w:r>
      <w:r w:rsidRPr="00D34AF7">
        <w:t xml:space="preserve">800.000,00 kn. </w:t>
      </w:r>
      <w:r>
        <w:t xml:space="preserve">     </w:t>
      </w:r>
    </w:p>
    <w:p w:rsidR="00B355B4" w:rsidRDefault="00B355B4" w:rsidP="00720A04">
      <w:pPr>
        <w:autoSpaceDE w:val="0"/>
        <w:autoSpaceDN w:val="0"/>
        <w:adjustRightInd w:val="0"/>
        <w:jc w:val="both"/>
      </w:pPr>
    </w:p>
    <w:p w:rsidR="008B039A" w:rsidRDefault="008B039A" w:rsidP="00321B46">
      <w:pPr>
        <w:autoSpaceDE w:val="0"/>
        <w:autoSpaceDN w:val="0"/>
        <w:adjustRightInd w:val="0"/>
        <w:ind w:firstLine="708"/>
        <w:jc w:val="both"/>
      </w:pPr>
    </w:p>
    <w:p w:rsidR="00783862" w:rsidRDefault="00597AD2" w:rsidP="005305CA">
      <w:pPr>
        <w:autoSpaceDE w:val="0"/>
        <w:autoSpaceDN w:val="0"/>
        <w:adjustRightInd w:val="0"/>
        <w:sectPr w:rsidR="00783862" w:rsidSect="007C0DC4"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t xml:space="preserve">Iz navedenih podataka </w:t>
      </w:r>
      <w:r w:rsidRPr="007C0DC4">
        <w:t xml:space="preserve">vidljivo je da </w:t>
      </w:r>
      <w:r>
        <w:t>je zbog rasta komunalnog standarda građana došlo do povećanja opsega komunalnih potreba i višestrukog povećanja troškova pojedinih usluga koje se financiraju iz komunalne naknade. Rezultat toga jest pomanjkanje</w:t>
      </w:r>
      <w:r w:rsidRPr="007C0DC4">
        <w:t xml:space="preserve"> namjenskih prihoda za financiranje obavljanja zakonom propisanih komuna</w:t>
      </w:r>
      <w:r>
        <w:t xml:space="preserve">lnih djelatnosti pa se zbog toga manjak sredstava svake godine nadoknađuje iz ostalih proračunskih prihoda. </w:t>
      </w:r>
    </w:p>
    <w:tbl>
      <w:tblPr>
        <w:tblpPr w:leftFromText="180" w:rightFromText="180" w:vertAnchor="text" w:horzAnchor="margin" w:tblpY="-652"/>
        <w:tblW w:w="13818" w:type="dxa"/>
        <w:tblLayout w:type="fixed"/>
        <w:tblLook w:val="04A0" w:firstRow="1" w:lastRow="0" w:firstColumn="1" w:lastColumn="0" w:noHBand="0" w:noVBand="1"/>
      </w:tblPr>
      <w:tblGrid>
        <w:gridCol w:w="831"/>
        <w:gridCol w:w="1799"/>
        <w:gridCol w:w="1364"/>
        <w:gridCol w:w="393"/>
        <w:gridCol w:w="1045"/>
        <w:gridCol w:w="539"/>
        <w:gridCol w:w="1043"/>
        <w:gridCol w:w="1583"/>
        <w:gridCol w:w="1582"/>
        <w:gridCol w:w="1678"/>
        <w:gridCol w:w="1651"/>
        <w:gridCol w:w="310"/>
      </w:tblGrid>
      <w:tr w:rsidR="00783862" w:rsidRPr="006823A9" w:rsidTr="00783862">
        <w:trPr>
          <w:trHeight w:val="389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34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PROGRAM ODRŽAVANJA 2001. – 2014. g. – troškovi u kunama</w:t>
            </w:r>
          </w:p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83862" w:rsidRPr="006823A9" w:rsidTr="00783862">
        <w:trPr>
          <w:trHeight w:val="389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 xml:space="preserve">              </w:t>
            </w:r>
          </w:p>
        </w:tc>
        <w:tc>
          <w:tcPr>
            <w:tcW w:w="934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83862" w:rsidRPr="006823A9" w:rsidTr="00783862">
        <w:trPr>
          <w:trHeight w:val="408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83862" w:rsidRPr="006823A9" w:rsidTr="00783862">
        <w:trPr>
          <w:trHeight w:val="1473"/>
        </w:trPr>
        <w:tc>
          <w:tcPr>
            <w:tcW w:w="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God</w:t>
            </w:r>
          </w:p>
        </w:tc>
        <w:tc>
          <w:tcPr>
            <w:tcW w:w="17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823A9">
              <w:rPr>
                <w:b/>
                <w:bCs/>
                <w:sz w:val="18"/>
                <w:szCs w:val="18"/>
              </w:rPr>
              <w:t>ČIŠĆENJE I ODRŽAVANJE JAVNIH POVRŠINA I RADOVI NA UREĐENJU GRADA IVANCA</w:t>
            </w:r>
          </w:p>
        </w:tc>
        <w:tc>
          <w:tcPr>
            <w:tcW w:w="438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823A9">
              <w:rPr>
                <w:b/>
                <w:bCs/>
                <w:sz w:val="18"/>
                <w:szCs w:val="18"/>
              </w:rPr>
              <w:t>Održavanje nerazvrstanih cesta + zimska služba</w:t>
            </w:r>
          </w:p>
        </w:tc>
        <w:tc>
          <w:tcPr>
            <w:tcW w:w="15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823A9">
              <w:rPr>
                <w:b/>
                <w:bCs/>
                <w:sz w:val="18"/>
                <w:szCs w:val="18"/>
              </w:rPr>
              <w:t>potrošnja električne energije za javnu rasvjetu</w:t>
            </w:r>
          </w:p>
        </w:tc>
        <w:tc>
          <w:tcPr>
            <w:tcW w:w="15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823A9">
              <w:rPr>
                <w:b/>
                <w:bCs/>
                <w:sz w:val="18"/>
                <w:szCs w:val="18"/>
              </w:rPr>
              <w:t>UKUPNO PROGRAM</w:t>
            </w:r>
          </w:p>
        </w:tc>
        <w:tc>
          <w:tcPr>
            <w:tcW w:w="16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62" w:rsidRPr="006823A9" w:rsidRDefault="00783862" w:rsidP="00E468A6">
            <w:pPr>
              <w:tabs>
                <w:tab w:val="left" w:pos="1026"/>
              </w:tabs>
              <w:autoSpaceDE w:val="0"/>
              <w:autoSpaceDN w:val="0"/>
              <w:adjustRightInd w:val="0"/>
              <w:ind w:right="12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PRORAČUNSKI PRIHODI OD POREZA I PRIREZA</w:t>
            </w:r>
          </w:p>
        </w:tc>
        <w:tc>
          <w:tcPr>
            <w:tcW w:w="16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823A9">
              <w:rPr>
                <w:b/>
                <w:sz w:val="18"/>
                <w:szCs w:val="18"/>
              </w:rPr>
              <w:t>UKUPNO PRIHOD KOMUNALNE NAKNADE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83862" w:rsidRPr="006823A9" w:rsidTr="00783862">
        <w:trPr>
          <w:trHeight w:val="488"/>
        </w:trPr>
        <w:tc>
          <w:tcPr>
            <w:tcW w:w="8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Održavanje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zimska služba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Ukupno:</w:t>
            </w: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83862" w:rsidRPr="006823A9" w:rsidTr="00783862">
        <w:trPr>
          <w:trHeight w:val="1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83862" w:rsidRPr="006823A9" w:rsidTr="00783862">
        <w:trPr>
          <w:trHeight w:val="389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2000.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83862" w:rsidRPr="006823A9" w:rsidTr="00783862">
        <w:trPr>
          <w:trHeight w:val="389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2001.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255.000,00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Nije se pratilo 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odvojeno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420.540,10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550.000,00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1.500.000,00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6.832.216,98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1.368.567,83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83862" w:rsidRPr="006823A9" w:rsidTr="00783862">
        <w:trPr>
          <w:trHeight w:val="389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2002.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255.000,00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financijsko 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izvršenje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363.000,00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580.000,00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1.430.000,00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7.697.361,00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1.758.714,34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83862" w:rsidRPr="006823A9" w:rsidTr="00783862">
        <w:trPr>
          <w:trHeight w:val="389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2003.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255.000,00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 održavanje i 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zimsku službu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433.000,00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555.000,00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1.430.000,00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7.581.929,00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1.762.386,68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83862" w:rsidRPr="006823A9" w:rsidTr="00783862">
        <w:trPr>
          <w:trHeight w:val="389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2004.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297.008,10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792.203,88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609.615,97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1.908.877,52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8.734.130,39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1.739.335,58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83862" w:rsidRPr="006823A9" w:rsidTr="00783862">
        <w:trPr>
          <w:trHeight w:val="389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2005.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312.591,26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436.188,91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497.301,40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933.490,31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685.274,55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2.095.800,74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8.710.386,89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1.808.643,84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83862" w:rsidRPr="006823A9" w:rsidTr="00783862">
        <w:trPr>
          <w:trHeight w:val="389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2006.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432.535,00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563.000,00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498.111,77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1.061.111,77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740.000,00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2.460.535,00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11.613.967,09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1.653.226,89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83862" w:rsidRPr="006823A9" w:rsidTr="00783862">
        <w:trPr>
          <w:trHeight w:val="389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2007.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601.952,39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855.029,38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55.911,87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910.941,25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910.941,25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2.483.817,24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17.125.108,30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1.869.834,76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83862" w:rsidRPr="006823A9" w:rsidTr="00783862">
        <w:trPr>
          <w:trHeight w:val="389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2008.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814.239,89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1.336.086,98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209.577,00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1.545.663,98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954.354,10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3.751.169,41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19.832.263,50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1.859.404,06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83862" w:rsidRPr="006823A9" w:rsidTr="00783862">
        <w:trPr>
          <w:trHeight w:val="389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2009.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842.174,14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-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1.787.258,14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1.074.260,80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4.349.960,04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18.012.028,62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1.853.390,87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83862" w:rsidRPr="006823A9" w:rsidTr="00783862">
        <w:trPr>
          <w:trHeight w:val="389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2010.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694.609,96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460.505,28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642.765,90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1.103.271,18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950.811,79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2.952.799,03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15.145.136,40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 1.970.668,44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83862" w:rsidRPr="006823A9" w:rsidTr="00783862">
        <w:trPr>
          <w:trHeight w:val="389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2011.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671.383,55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738.820,78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387.817,90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1.126.638,68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939.849,55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3.009.593,85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14.625.727,95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 1.865.838,00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83862" w:rsidRPr="006823A9" w:rsidTr="00783862">
        <w:trPr>
          <w:trHeight w:val="389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2012.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672.498,90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745.118,89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335.061,00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1.080.179,89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947.830,29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3.320.366,08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14.733.714,76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 1.983.728,56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83862" w:rsidRPr="006823A9" w:rsidTr="00783862">
        <w:trPr>
          <w:trHeight w:val="389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2013.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577.000,34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457.346,19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1.041.578,13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1.498.924,32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869.619,23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3.398.731,30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15.727.461,17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 2.344.850,08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83862" w:rsidRPr="006823A9" w:rsidTr="00783862">
        <w:trPr>
          <w:trHeight w:val="408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2014.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696.085,03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687.739,94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323.812,50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1.011.552,44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844.331,24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2.980.574,40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16.229.906,35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 2.266.919,23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62" w:rsidRPr="006823A9" w:rsidRDefault="00783862" w:rsidP="00E46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7C0DC4" w:rsidRDefault="007C0DC4" w:rsidP="007C0DC4">
      <w:pPr>
        <w:autoSpaceDE w:val="0"/>
        <w:autoSpaceDN w:val="0"/>
        <w:adjustRightInd w:val="0"/>
        <w:ind w:firstLine="708"/>
        <w:jc w:val="both"/>
      </w:pPr>
    </w:p>
    <w:p w:rsidR="0017723C" w:rsidRDefault="0017723C" w:rsidP="007C0DC4">
      <w:pPr>
        <w:tabs>
          <w:tab w:val="left" w:pos="1050"/>
        </w:tabs>
      </w:pPr>
    </w:p>
    <w:p w:rsidR="00720A04" w:rsidRDefault="00720A04" w:rsidP="007C0DC4">
      <w:pPr>
        <w:tabs>
          <w:tab w:val="left" w:pos="1050"/>
        </w:tabs>
      </w:pPr>
    </w:p>
    <w:p w:rsidR="00720A04" w:rsidRDefault="00720A04" w:rsidP="007C0DC4">
      <w:pPr>
        <w:tabs>
          <w:tab w:val="left" w:pos="1050"/>
        </w:tabs>
      </w:pPr>
    </w:p>
    <w:p w:rsidR="00720A04" w:rsidRDefault="00720A04" w:rsidP="007C0DC4">
      <w:pPr>
        <w:tabs>
          <w:tab w:val="left" w:pos="1050"/>
        </w:tabs>
      </w:pPr>
    </w:p>
    <w:p w:rsidR="008828B0" w:rsidRDefault="008828B0" w:rsidP="007C0DC4">
      <w:pPr>
        <w:tabs>
          <w:tab w:val="left" w:pos="1050"/>
        </w:tabs>
      </w:pPr>
    </w:p>
    <w:p w:rsidR="008828B0" w:rsidRDefault="008828B0" w:rsidP="007C0DC4">
      <w:pPr>
        <w:tabs>
          <w:tab w:val="left" w:pos="1050"/>
        </w:tabs>
      </w:pPr>
    </w:p>
    <w:p w:rsidR="008828B0" w:rsidRDefault="008828B0" w:rsidP="007C0DC4">
      <w:pPr>
        <w:tabs>
          <w:tab w:val="left" w:pos="1050"/>
        </w:tabs>
      </w:pPr>
    </w:p>
    <w:p w:rsidR="008828B0" w:rsidRDefault="008828B0" w:rsidP="007C0DC4">
      <w:pPr>
        <w:tabs>
          <w:tab w:val="left" w:pos="1050"/>
        </w:tabs>
      </w:pPr>
    </w:p>
    <w:p w:rsidR="008828B0" w:rsidRDefault="008828B0" w:rsidP="007C0DC4">
      <w:pPr>
        <w:tabs>
          <w:tab w:val="left" w:pos="1050"/>
        </w:tabs>
      </w:pPr>
    </w:p>
    <w:p w:rsidR="008828B0" w:rsidRDefault="008828B0" w:rsidP="007C0DC4">
      <w:pPr>
        <w:tabs>
          <w:tab w:val="left" w:pos="1050"/>
        </w:tabs>
      </w:pPr>
    </w:p>
    <w:p w:rsidR="00783862" w:rsidRDefault="00783862" w:rsidP="007C0DC4">
      <w:pPr>
        <w:tabs>
          <w:tab w:val="left" w:pos="1050"/>
        </w:tabs>
      </w:pPr>
    </w:p>
    <w:p w:rsidR="00783862" w:rsidRDefault="00783862" w:rsidP="007C0DC4">
      <w:pPr>
        <w:tabs>
          <w:tab w:val="left" w:pos="1050"/>
        </w:tabs>
      </w:pPr>
    </w:p>
    <w:p w:rsidR="00783862" w:rsidRDefault="00783862" w:rsidP="007C0DC4">
      <w:pPr>
        <w:tabs>
          <w:tab w:val="left" w:pos="1050"/>
        </w:tabs>
      </w:pPr>
    </w:p>
    <w:p w:rsidR="00783862" w:rsidRDefault="00783862" w:rsidP="007C0DC4">
      <w:pPr>
        <w:tabs>
          <w:tab w:val="left" w:pos="1050"/>
        </w:tabs>
      </w:pPr>
    </w:p>
    <w:p w:rsidR="00783862" w:rsidRDefault="00783862" w:rsidP="007C0DC4">
      <w:pPr>
        <w:tabs>
          <w:tab w:val="left" w:pos="1050"/>
        </w:tabs>
      </w:pPr>
    </w:p>
    <w:p w:rsidR="00783862" w:rsidRDefault="00783862" w:rsidP="007C0DC4">
      <w:pPr>
        <w:tabs>
          <w:tab w:val="left" w:pos="1050"/>
        </w:tabs>
      </w:pPr>
    </w:p>
    <w:p w:rsidR="00783862" w:rsidRDefault="00783862" w:rsidP="007C0DC4">
      <w:pPr>
        <w:tabs>
          <w:tab w:val="left" w:pos="1050"/>
        </w:tabs>
      </w:pPr>
    </w:p>
    <w:p w:rsidR="00783862" w:rsidRDefault="00783862" w:rsidP="007C0DC4">
      <w:pPr>
        <w:tabs>
          <w:tab w:val="left" w:pos="1050"/>
        </w:tabs>
      </w:pPr>
    </w:p>
    <w:p w:rsidR="00783862" w:rsidRDefault="00783862" w:rsidP="007C0DC4">
      <w:pPr>
        <w:tabs>
          <w:tab w:val="left" w:pos="1050"/>
        </w:tabs>
      </w:pPr>
    </w:p>
    <w:p w:rsidR="00783862" w:rsidRDefault="00783862" w:rsidP="007C0DC4">
      <w:pPr>
        <w:tabs>
          <w:tab w:val="left" w:pos="1050"/>
        </w:tabs>
      </w:pPr>
    </w:p>
    <w:p w:rsidR="00783862" w:rsidRDefault="00783862" w:rsidP="007C0DC4">
      <w:pPr>
        <w:tabs>
          <w:tab w:val="left" w:pos="1050"/>
        </w:tabs>
      </w:pPr>
    </w:p>
    <w:p w:rsidR="00783862" w:rsidRDefault="00783862" w:rsidP="007C0DC4">
      <w:pPr>
        <w:tabs>
          <w:tab w:val="left" w:pos="1050"/>
        </w:tabs>
      </w:pPr>
    </w:p>
    <w:p w:rsidR="00783862" w:rsidRDefault="00783862" w:rsidP="007C0DC4">
      <w:pPr>
        <w:tabs>
          <w:tab w:val="left" w:pos="1050"/>
        </w:tabs>
      </w:pPr>
    </w:p>
    <w:p w:rsidR="00783862" w:rsidRDefault="00783862" w:rsidP="007C0DC4">
      <w:pPr>
        <w:tabs>
          <w:tab w:val="left" w:pos="1050"/>
        </w:tabs>
      </w:pPr>
    </w:p>
    <w:p w:rsidR="00783862" w:rsidRDefault="00783862" w:rsidP="007C0DC4">
      <w:pPr>
        <w:tabs>
          <w:tab w:val="left" w:pos="1050"/>
        </w:tabs>
      </w:pPr>
    </w:p>
    <w:p w:rsidR="00783862" w:rsidRDefault="00783862" w:rsidP="007C0DC4">
      <w:pPr>
        <w:tabs>
          <w:tab w:val="left" w:pos="1050"/>
        </w:tabs>
      </w:pPr>
    </w:p>
    <w:p w:rsidR="00783862" w:rsidRDefault="00783862" w:rsidP="007C0DC4">
      <w:pPr>
        <w:tabs>
          <w:tab w:val="left" w:pos="1050"/>
        </w:tabs>
      </w:pPr>
    </w:p>
    <w:p w:rsidR="00783862" w:rsidRDefault="00783862" w:rsidP="007C0DC4">
      <w:pPr>
        <w:tabs>
          <w:tab w:val="left" w:pos="1050"/>
        </w:tabs>
      </w:pPr>
    </w:p>
    <w:p w:rsidR="008828B0" w:rsidRDefault="008828B0" w:rsidP="007C0DC4">
      <w:pPr>
        <w:tabs>
          <w:tab w:val="left" w:pos="1050"/>
        </w:tabs>
      </w:pPr>
    </w:p>
    <w:p w:rsidR="008828B0" w:rsidRDefault="008828B0" w:rsidP="007C0DC4">
      <w:pPr>
        <w:tabs>
          <w:tab w:val="left" w:pos="1050"/>
        </w:tabs>
      </w:pPr>
    </w:p>
    <w:p w:rsidR="008828B0" w:rsidRDefault="008828B0" w:rsidP="007C0DC4">
      <w:pPr>
        <w:tabs>
          <w:tab w:val="left" w:pos="1050"/>
        </w:tabs>
      </w:pPr>
    </w:p>
    <w:p w:rsidR="00783862" w:rsidRDefault="00783862" w:rsidP="00F72E6C">
      <w:pPr>
        <w:autoSpaceDE w:val="0"/>
        <w:autoSpaceDN w:val="0"/>
        <w:adjustRightInd w:val="0"/>
        <w:ind w:firstLine="708"/>
        <w:jc w:val="both"/>
        <w:sectPr w:rsidR="00783862" w:rsidSect="00783862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828B0" w:rsidRDefault="008828B0" w:rsidP="00F72E6C">
      <w:pPr>
        <w:autoSpaceDE w:val="0"/>
        <w:autoSpaceDN w:val="0"/>
        <w:adjustRightInd w:val="0"/>
        <w:ind w:firstLine="708"/>
        <w:jc w:val="both"/>
      </w:pPr>
    </w:p>
    <w:p w:rsidR="00F72E6C" w:rsidRDefault="00F72E6C" w:rsidP="00F72E6C">
      <w:pPr>
        <w:autoSpaceDE w:val="0"/>
        <w:autoSpaceDN w:val="0"/>
        <w:adjustRightInd w:val="0"/>
        <w:ind w:firstLine="708"/>
        <w:jc w:val="both"/>
      </w:pPr>
      <w:r>
        <w:t xml:space="preserve">Slijedom svega navedenog potrebno je u minimalnom iznosu, od svega par lipa, korigirati vrijednost boda kao osnove za izračun komunalne naknade, a </w:t>
      </w:r>
      <w:r w:rsidR="005305CA">
        <w:t>sve u cilju učinkovitijeg održavanja komunalne infrastrukture na području grada Ivanca.</w:t>
      </w:r>
    </w:p>
    <w:p w:rsidR="008B039A" w:rsidRDefault="008B039A" w:rsidP="00F72E6C">
      <w:pPr>
        <w:autoSpaceDE w:val="0"/>
        <w:autoSpaceDN w:val="0"/>
        <w:adjustRightInd w:val="0"/>
        <w:jc w:val="both"/>
      </w:pPr>
    </w:p>
    <w:p w:rsidR="00243597" w:rsidRDefault="00243597" w:rsidP="00742C76">
      <w:pPr>
        <w:autoSpaceDE w:val="0"/>
        <w:autoSpaceDN w:val="0"/>
        <w:adjustRightInd w:val="0"/>
        <w:ind w:firstLine="708"/>
        <w:jc w:val="both"/>
      </w:pPr>
    </w:p>
    <w:p w:rsidR="004D54D5" w:rsidRDefault="0025796A" w:rsidP="00742C76">
      <w:pPr>
        <w:autoSpaceDE w:val="0"/>
        <w:autoSpaceDN w:val="0"/>
        <w:adjustRightInd w:val="0"/>
        <w:ind w:firstLine="708"/>
        <w:jc w:val="both"/>
      </w:pPr>
      <w:r>
        <w:t>U slijedećoj tablici prikazana je simulacija -</w:t>
      </w:r>
      <w:r w:rsidR="004D54D5">
        <w:t xml:space="preserve"> prihod ostv</w:t>
      </w:r>
      <w:r>
        <w:t>aren naplatom komunalne naknade</w:t>
      </w:r>
      <w:r w:rsidR="004D54D5">
        <w:t xml:space="preserve"> prema sadašnjoj vrijednosti boda (od 0,32 kn/m</w:t>
      </w:r>
      <w:r w:rsidR="004D54D5">
        <w:rPr>
          <w:vertAlign w:val="superscript"/>
        </w:rPr>
        <w:t>2</w:t>
      </w:r>
      <w:r>
        <w:t>)</w:t>
      </w:r>
      <w:r w:rsidR="004D54D5">
        <w:t xml:space="preserve"> te koliko bi bilo povećanje prihoda </w:t>
      </w:r>
      <w:r>
        <w:t>ako</w:t>
      </w:r>
      <w:r w:rsidR="004D54D5">
        <w:t xml:space="preserve"> bi se vrijednost boda povećala na 0,40 kn/m</w:t>
      </w:r>
      <w:r w:rsidR="004D54D5">
        <w:rPr>
          <w:vertAlign w:val="superscript"/>
        </w:rPr>
        <w:t>2</w:t>
      </w:r>
      <w:r w:rsidR="00B47E40">
        <w:t xml:space="preserve"> za stanovništvo.</w:t>
      </w:r>
    </w:p>
    <w:p w:rsidR="00243597" w:rsidRDefault="00B47E40" w:rsidP="00F72E6C">
      <w:pPr>
        <w:autoSpaceDE w:val="0"/>
        <w:autoSpaceDN w:val="0"/>
        <w:adjustRightInd w:val="0"/>
        <w:ind w:firstLine="708"/>
        <w:jc w:val="both"/>
      </w:pPr>
      <w:r>
        <w:t xml:space="preserve">Ujedno prikazujemo </w:t>
      </w:r>
      <w:r w:rsidRPr="00B47E40">
        <w:t>prihod ostvaren naplatom kom</w:t>
      </w:r>
      <w:r>
        <w:t xml:space="preserve">unalne naknade za poslovne prostore, </w:t>
      </w:r>
      <w:r w:rsidRPr="00B47E40">
        <w:t xml:space="preserve"> prema sadašnjoj vrijednosti boda (od 0,32 kn/m</w:t>
      </w:r>
      <w:r w:rsidRPr="00B47E40">
        <w:rPr>
          <w:vertAlign w:val="superscript"/>
        </w:rPr>
        <w:t>2</w:t>
      </w:r>
      <w:r w:rsidR="0025796A">
        <w:t>)</w:t>
      </w:r>
      <w:r w:rsidRPr="00B47E40">
        <w:t xml:space="preserve"> te koliko bi bilo povećanje prihoda </w:t>
      </w:r>
      <w:r w:rsidR="0025796A">
        <w:t>ako</w:t>
      </w:r>
      <w:r w:rsidRPr="00B47E40">
        <w:t xml:space="preserve"> bi se vrijednost boda povećala na 0,40 kn/m</w:t>
      </w:r>
      <w:r w:rsidRPr="00B47E40">
        <w:rPr>
          <w:vertAlign w:val="superscript"/>
        </w:rPr>
        <w:t>2</w:t>
      </w:r>
      <w:r w:rsidR="008828B0">
        <w:t>.</w:t>
      </w:r>
    </w:p>
    <w:p w:rsidR="00243597" w:rsidRDefault="00243597" w:rsidP="00F72E6C">
      <w:pPr>
        <w:autoSpaceDE w:val="0"/>
        <w:autoSpaceDN w:val="0"/>
        <w:adjustRightInd w:val="0"/>
        <w:ind w:firstLine="708"/>
        <w:jc w:val="both"/>
      </w:pPr>
    </w:p>
    <w:p w:rsidR="004D54D5" w:rsidRDefault="004D54D5" w:rsidP="00742C76">
      <w:pPr>
        <w:autoSpaceDE w:val="0"/>
        <w:autoSpaceDN w:val="0"/>
        <w:adjustRightInd w:val="0"/>
        <w:ind w:firstLine="708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63"/>
        <w:gridCol w:w="2040"/>
        <w:gridCol w:w="2887"/>
        <w:gridCol w:w="2464"/>
      </w:tblGrid>
      <w:tr w:rsidR="004D54D5" w:rsidTr="00B47E40">
        <w:trPr>
          <w:trHeight w:val="783"/>
        </w:trPr>
        <w:tc>
          <w:tcPr>
            <w:tcW w:w="2463" w:type="dxa"/>
          </w:tcPr>
          <w:p w:rsidR="004D54D5" w:rsidRDefault="004D54D5" w:rsidP="00742C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</w:tcPr>
          <w:p w:rsidR="004D54D5" w:rsidRPr="00B47E40" w:rsidRDefault="004D54D5" w:rsidP="00742C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7E40">
              <w:rPr>
                <w:sz w:val="20"/>
                <w:szCs w:val="20"/>
              </w:rPr>
              <w:t>SADAŠNJI RAZREZ</w:t>
            </w:r>
          </w:p>
        </w:tc>
        <w:tc>
          <w:tcPr>
            <w:tcW w:w="2887" w:type="dxa"/>
          </w:tcPr>
          <w:p w:rsidR="004D54D5" w:rsidRPr="00B47E40" w:rsidRDefault="00B47E40" w:rsidP="00742C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POVEĆANJE </w:t>
            </w:r>
            <w:r w:rsidR="004D54D5" w:rsidRPr="00B47E40">
              <w:rPr>
                <w:sz w:val="20"/>
                <w:szCs w:val="20"/>
              </w:rPr>
              <w:t>VRIJEDNOSTI BODA NA 0,40 KN/M2</w:t>
            </w:r>
          </w:p>
        </w:tc>
        <w:tc>
          <w:tcPr>
            <w:tcW w:w="2464" w:type="dxa"/>
          </w:tcPr>
          <w:p w:rsidR="004D54D5" w:rsidRPr="00B47E40" w:rsidRDefault="00B47E40" w:rsidP="00742C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B47E40">
              <w:rPr>
                <w:sz w:val="20"/>
                <w:szCs w:val="20"/>
              </w:rPr>
              <w:t>RAZLIKA</w:t>
            </w:r>
          </w:p>
        </w:tc>
      </w:tr>
      <w:tr w:rsidR="004D54D5" w:rsidTr="00B47E40">
        <w:trPr>
          <w:trHeight w:val="605"/>
        </w:trPr>
        <w:tc>
          <w:tcPr>
            <w:tcW w:w="2463" w:type="dxa"/>
          </w:tcPr>
          <w:p w:rsidR="004D54D5" w:rsidRDefault="004D54D5" w:rsidP="00742C76">
            <w:pPr>
              <w:autoSpaceDE w:val="0"/>
              <w:autoSpaceDN w:val="0"/>
              <w:adjustRightInd w:val="0"/>
              <w:jc w:val="both"/>
            </w:pPr>
            <w:r>
              <w:t>STANOVNIŠTVO</w:t>
            </w:r>
          </w:p>
        </w:tc>
        <w:tc>
          <w:tcPr>
            <w:tcW w:w="2040" w:type="dxa"/>
          </w:tcPr>
          <w:p w:rsidR="004D54D5" w:rsidRDefault="00B47E40" w:rsidP="00742C76">
            <w:pPr>
              <w:autoSpaceDE w:val="0"/>
              <w:autoSpaceDN w:val="0"/>
              <w:adjustRightInd w:val="0"/>
              <w:jc w:val="both"/>
            </w:pPr>
            <w:r>
              <w:t>1.288.695,84 kn/godišnje</w:t>
            </w:r>
          </w:p>
        </w:tc>
        <w:tc>
          <w:tcPr>
            <w:tcW w:w="2887" w:type="dxa"/>
          </w:tcPr>
          <w:p w:rsidR="004D54D5" w:rsidRDefault="00B47E40" w:rsidP="00742C76">
            <w:pPr>
              <w:autoSpaceDE w:val="0"/>
              <w:autoSpaceDN w:val="0"/>
              <w:adjustRightInd w:val="0"/>
              <w:jc w:val="both"/>
            </w:pPr>
            <w:r>
              <w:t>1.607.983,08 kn/godišnje</w:t>
            </w:r>
          </w:p>
        </w:tc>
        <w:tc>
          <w:tcPr>
            <w:tcW w:w="2464" w:type="dxa"/>
          </w:tcPr>
          <w:p w:rsidR="004D54D5" w:rsidRPr="00B47E40" w:rsidRDefault="00B47E40" w:rsidP="00742C7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47E40">
              <w:rPr>
                <w:b/>
              </w:rPr>
              <w:t>319.287,24 kn/godišnje</w:t>
            </w:r>
          </w:p>
        </w:tc>
      </w:tr>
      <w:tr w:rsidR="004D54D5" w:rsidTr="00B47E40">
        <w:trPr>
          <w:trHeight w:val="841"/>
        </w:trPr>
        <w:tc>
          <w:tcPr>
            <w:tcW w:w="2463" w:type="dxa"/>
          </w:tcPr>
          <w:p w:rsidR="004D54D5" w:rsidRDefault="004D54D5" w:rsidP="00742C76">
            <w:pPr>
              <w:autoSpaceDE w:val="0"/>
              <w:autoSpaceDN w:val="0"/>
              <w:adjustRightInd w:val="0"/>
              <w:jc w:val="both"/>
            </w:pPr>
            <w:r>
              <w:t>POSLOVNI PROSTORI</w:t>
            </w:r>
          </w:p>
        </w:tc>
        <w:tc>
          <w:tcPr>
            <w:tcW w:w="2040" w:type="dxa"/>
          </w:tcPr>
          <w:p w:rsidR="004D54D5" w:rsidRDefault="00B47E40" w:rsidP="00742C76">
            <w:pPr>
              <w:autoSpaceDE w:val="0"/>
              <w:autoSpaceDN w:val="0"/>
              <w:adjustRightInd w:val="0"/>
              <w:jc w:val="both"/>
            </w:pPr>
            <w:r>
              <w:t>1.134.899,76 kn/godišnje</w:t>
            </w:r>
          </w:p>
        </w:tc>
        <w:tc>
          <w:tcPr>
            <w:tcW w:w="2887" w:type="dxa"/>
          </w:tcPr>
          <w:p w:rsidR="004D54D5" w:rsidRDefault="008828B0" w:rsidP="00742C76">
            <w:pPr>
              <w:autoSpaceDE w:val="0"/>
              <w:autoSpaceDN w:val="0"/>
              <w:adjustRightInd w:val="0"/>
              <w:jc w:val="both"/>
            </w:pPr>
            <w:r>
              <w:t>1.418.624,70</w:t>
            </w:r>
            <w:r w:rsidR="00B47E40">
              <w:t xml:space="preserve"> kn/godišnje</w:t>
            </w:r>
          </w:p>
        </w:tc>
        <w:tc>
          <w:tcPr>
            <w:tcW w:w="2464" w:type="dxa"/>
          </w:tcPr>
          <w:p w:rsidR="004D54D5" w:rsidRPr="00B47E40" w:rsidRDefault="008828B0" w:rsidP="00742C7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283.724,94 </w:t>
            </w:r>
            <w:r w:rsidR="00B47E40" w:rsidRPr="00B47E40">
              <w:rPr>
                <w:b/>
              </w:rPr>
              <w:t>kn/godišnje</w:t>
            </w:r>
          </w:p>
        </w:tc>
      </w:tr>
    </w:tbl>
    <w:p w:rsidR="004D54D5" w:rsidRDefault="004D54D5" w:rsidP="00B47E40">
      <w:pPr>
        <w:autoSpaceDE w:val="0"/>
        <w:autoSpaceDN w:val="0"/>
        <w:adjustRightInd w:val="0"/>
        <w:jc w:val="both"/>
      </w:pPr>
    </w:p>
    <w:p w:rsidR="00243597" w:rsidRDefault="00243597" w:rsidP="00B47E40">
      <w:pPr>
        <w:autoSpaceDE w:val="0"/>
        <w:autoSpaceDN w:val="0"/>
        <w:adjustRightInd w:val="0"/>
        <w:jc w:val="both"/>
      </w:pPr>
    </w:p>
    <w:p w:rsidR="00243597" w:rsidRDefault="00243597" w:rsidP="00B47E40">
      <w:pPr>
        <w:autoSpaceDE w:val="0"/>
        <w:autoSpaceDN w:val="0"/>
        <w:adjustRightInd w:val="0"/>
        <w:jc w:val="both"/>
      </w:pPr>
    </w:p>
    <w:p w:rsidR="00243597" w:rsidRPr="00803114" w:rsidRDefault="00243597" w:rsidP="00243597">
      <w:pPr>
        <w:autoSpaceDE w:val="0"/>
        <w:autoSpaceDN w:val="0"/>
        <w:adjustRightInd w:val="0"/>
        <w:jc w:val="both"/>
      </w:pPr>
      <w:r>
        <w:tab/>
      </w:r>
      <w:r w:rsidR="0025796A">
        <w:t>S o</w:t>
      </w:r>
      <w:r>
        <w:t xml:space="preserve">bzirom </w:t>
      </w:r>
      <w:r w:rsidR="0025796A">
        <w:t xml:space="preserve">na to </w:t>
      </w:r>
      <w:r>
        <w:t>da se predlaže i izmjena Odluke o komunalnoj naknadi, u članku 9. koji propisuje koeficijente namjene ovis</w:t>
      </w:r>
      <w:r w:rsidR="0025796A">
        <w:t>no o vrsti i namjeni nekretnina</w:t>
      </w:r>
      <w:r>
        <w:t xml:space="preserve"> na način da </w:t>
      </w:r>
      <w:r w:rsidR="0025796A">
        <w:t>se</w:t>
      </w:r>
      <w:r w:rsidRPr="00243597">
        <w:t xml:space="preserve"> koeficijent za </w:t>
      </w:r>
      <w:r w:rsidRPr="008828B0">
        <w:rPr>
          <w:b/>
        </w:rPr>
        <w:t>poslovni prostor</w:t>
      </w:r>
      <w:r w:rsidRPr="00243597">
        <w:t xml:space="preserve"> koji služi za ostale djelatnosti sa</w:t>
      </w:r>
      <w:r w:rsidR="0025796A">
        <w:t xml:space="preserve"> sadašnji</w:t>
      </w:r>
      <w:r w:rsidR="005305CA">
        <w:t>h</w:t>
      </w:r>
      <w:r w:rsidRPr="00243597">
        <w:t xml:space="preserve"> 3,70 </w:t>
      </w:r>
      <w:r w:rsidR="0025796A">
        <w:t xml:space="preserve">poveća </w:t>
      </w:r>
      <w:r w:rsidRPr="00243597">
        <w:t>na 5,00, odnosno</w:t>
      </w:r>
      <w:r w:rsidR="0025796A">
        <w:t>, da se</w:t>
      </w:r>
      <w:r w:rsidRPr="00243597">
        <w:t xml:space="preserve"> koeficijent za građevinsko zemljište koje služi u svrhu obavljanja ostalih </w:t>
      </w:r>
      <w:r w:rsidRPr="008828B0">
        <w:rPr>
          <w:b/>
        </w:rPr>
        <w:t>poslovnih djelatnosti</w:t>
      </w:r>
      <w:r>
        <w:t xml:space="preserve"> sa </w:t>
      </w:r>
      <w:r w:rsidR="0025796A">
        <w:t xml:space="preserve">sadašnjih </w:t>
      </w:r>
      <w:r>
        <w:t xml:space="preserve">0,50 </w:t>
      </w:r>
      <w:r w:rsidR="0025796A">
        <w:t xml:space="preserve">poveća </w:t>
      </w:r>
      <w:r>
        <w:t>na 0,67, u tablici ispod prikazujemo ra</w:t>
      </w:r>
      <w:r w:rsidR="00803114">
        <w:t>zliku koja bi se ostvarila</w:t>
      </w:r>
      <w:r>
        <w:t xml:space="preserve"> </w:t>
      </w:r>
      <w:r w:rsidR="00803114">
        <w:t xml:space="preserve">izmjenom </w:t>
      </w:r>
      <w:r w:rsidR="0025796A">
        <w:t xml:space="preserve">koeficijenata i izmjenom </w:t>
      </w:r>
      <w:r w:rsidR="00803114">
        <w:t xml:space="preserve">vrijednosti boda na </w:t>
      </w:r>
      <w:r w:rsidR="00803114" w:rsidRPr="00803114">
        <w:t>0,40 kn/m</w:t>
      </w:r>
      <w:r w:rsidR="00803114" w:rsidRPr="00803114">
        <w:rPr>
          <w:vertAlign w:val="superscript"/>
        </w:rPr>
        <w:t>2</w:t>
      </w:r>
      <w:r w:rsidR="0025796A">
        <w:rPr>
          <w:vertAlign w:val="superscript"/>
        </w:rPr>
        <w:t>.</w:t>
      </w:r>
    </w:p>
    <w:p w:rsidR="008828B0" w:rsidRDefault="008828B0" w:rsidP="00243597">
      <w:pPr>
        <w:autoSpaceDE w:val="0"/>
        <w:autoSpaceDN w:val="0"/>
        <w:adjustRightInd w:val="0"/>
        <w:jc w:val="both"/>
      </w:pPr>
    </w:p>
    <w:p w:rsidR="008828B0" w:rsidRDefault="008828B0" w:rsidP="00243597">
      <w:pPr>
        <w:autoSpaceDE w:val="0"/>
        <w:autoSpaceDN w:val="0"/>
        <w:adjustRightInd w:val="0"/>
        <w:jc w:val="both"/>
      </w:pPr>
    </w:p>
    <w:p w:rsidR="008828B0" w:rsidRDefault="008828B0" w:rsidP="00243597">
      <w:pPr>
        <w:autoSpaceDE w:val="0"/>
        <w:autoSpaceDN w:val="0"/>
        <w:adjustRightInd w:val="0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828B0" w:rsidTr="008828B0">
        <w:tc>
          <w:tcPr>
            <w:tcW w:w="2463" w:type="dxa"/>
          </w:tcPr>
          <w:p w:rsidR="008828B0" w:rsidRDefault="008828B0" w:rsidP="002435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3" w:type="dxa"/>
          </w:tcPr>
          <w:p w:rsidR="008828B0" w:rsidRPr="008828B0" w:rsidRDefault="008828B0" w:rsidP="002435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SADAŠNJI RAZREZ</w:t>
            </w:r>
          </w:p>
        </w:tc>
        <w:tc>
          <w:tcPr>
            <w:tcW w:w="2464" w:type="dxa"/>
          </w:tcPr>
          <w:p w:rsidR="008828B0" w:rsidRPr="008828B0" w:rsidRDefault="008828B0" w:rsidP="002435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828B0">
              <w:rPr>
                <w:sz w:val="20"/>
                <w:szCs w:val="20"/>
              </w:rPr>
              <w:t>POVEĆANJE KEOFICIJENTA NAMJENE ZA OSTALE DJELATNOSTI</w:t>
            </w:r>
          </w:p>
        </w:tc>
        <w:tc>
          <w:tcPr>
            <w:tcW w:w="2464" w:type="dxa"/>
          </w:tcPr>
          <w:p w:rsidR="008828B0" w:rsidRPr="008828B0" w:rsidRDefault="008828B0" w:rsidP="002435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8828B0">
              <w:rPr>
                <w:sz w:val="20"/>
                <w:szCs w:val="20"/>
              </w:rPr>
              <w:t>RAZLIKA</w:t>
            </w:r>
          </w:p>
        </w:tc>
      </w:tr>
      <w:tr w:rsidR="008828B0" w:rsidTr="008828B0">
        <w:tc>
          <w:tcPr>
            <w:tcW w:w="2463" w:type="dxa"/>
          </w:tcPr>
          <w:p w:rsidR="008828B0" w:rsidRDefault="008828B0" w:rsidP="00243597">
            <w:pPr>
              <w:autoSpaceDE w:val="0"/>
              <w:autoSpaceDN w:val="0"/>
              <w:adjustRightInd w:val="0"/>
              <w:jc w:val="both"/>
            </w:pPr>
            <w:r>
              <w:t>POSLOVNI PROSTORI</w:t>
            </w:r>
          </w:p>
        </w:tc>
        <w:tc>
          <w:tcPr>
            <w:tcW w:w="2463" w:type="dxa"/>
          </w:tcPr>
          <w:p w:rsidR="008828B0" w:rsidRDefault="00803114" w:rsidP="00243597">
            <w:pPr>
              <w:autoSpaceDE w:val="0"/>
              <w:autoSpaceDN w:val="0"/>
              <w:adjustRightInd w:val="0"/>
              <w:jc w:val="both"/>
            </w:pPr>
            <w:r>
              <w:t>1.134.899,76 kn/godišnje</w:t>
            </w:r>
          </w:p>
        </w:tc>
        <w:tc>
          <w:tcPr>
            <w:tcW w:w="2464" w:type="dxa"/>
          </w:tcPr>
          <w:p w:rsidR="008828B0" w:rsidRDefault="00803114" w:rsidP="00243597">
            <w:pPr>
              <w:autoSpaceDE w:val="0"/>
              <w:autoSpaceDN w:val="0"/>
              <w:adjustRightInd w:val="0"/>
              <w:jc w:val="both"/>
            </w:pPr>
            <w:r>
              <w:t>1.752.766,56 kn/godišnje</w:t>
            </w:r>
          </w:p>
        </w:tc>
        <w:tc>
          <w:tcPr>
            <w:tcW w:w="2464" w:type="dxa"/>
          </w:tcPr>
          <w:p w:rsidR="008828B0" w:rsidRPr="00803114" w:rsidRDefault="00803114" w:rsidP="0024359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03114">
              <w:rPr>
                <w:b/>
              </w:rPr>
              <w:t>617.866,80 kn/godišnje</w:t>
            </w:r>
          </w:p>
        </w:tc>
      </w:tr>
    </w:tbl>
    <w:p w:rsidR="008828B0" w:rsidRPr="00243597" w:rsidRDefault="008828B0" w:rsidP="00243597">
      <w:pPr>
        <w:autoSpaceDE w:val="0"/>
        <w:autoSpaceDN w:val="0"/>
        <w:adjustRightInd w:val="0"/>
        <w:jc w:val="both"/>
      </w:pPr>
    </w:p>
    <w:p w:rsidR="00243597" w:rsidRDefault="00243597" w:rsidP="00B47E40">
      <w:pPr>
        <w:autoSpaceDE w:val="0"/>
        <w:autoSpaceDN w:val="0"/>
        <w:adjustRightInd w:val="0"/>
        <w:jc w:val="both"/>
      </w:pPr>
    </w:p>
    <w:p w:rsidR="00243597" w:rsidRDefault="00803114" w:rsidP="0025796A">
      <w:pPr>
        <w:autoSpaceDE w:val="0"/>
        <w:autoSpaceDN w:val="0"/>
        <w:adjustRightInd w:val="0"/>
        <w:ind w:firstLine="708"/>
        <w:jc w:val="both"/>
      </w:pPr>
      <w:bookmarkStart w:id="0" w:name="_GoBack"/>
      <w:bookmarkEnd w:id="0"/>
      <w:r>
        <w:t xml:space="preserve">Sukladno svim navedenim izračunima, </w:t>
      </w:r>
      <w:r w:rsidR="0025796A">
        <w:t>pr</w:t>
      </w:r>
      <w:r>
        <w:t>edloženi</w:t>
      </w:r>
      <w:r w:rsidR="0025796A">
        <w:t xml:space="preserve">m izmjenama ostvario bi se </w:t>
      </w:r>
      <w:r>
        <w:t xml:space="preserve">prihod komunalne naknade </w:t>
      </w:r>
      <w:r w:rsidR="0025796A">
        <w:t xml:space="preserve">veći </w:t>
      </w:r>
      <w:r>
        <w:t xml:space="preserve">za 319.287,24 kn </w:t>
      </w:r>
      <w:r w:rsidR="0025796A">
        <w:t>(</w:t>
      </w:r>
      <w:r>
        <w:t xml:space="preserve">od strane </w:t>
      </w:r>
      <w:r w:rsidR="0025796A">
        <w:t xml:space="preserve">građana) te </w:t>
      </w:r>
      <w:r>
        <w:t xml:space="preserve">617.866,80 kn </w:t>
      </w:r>
      <w:r w:rsidR="0025796A">
        <w:t>prihoda više (od</w:t>
      </w:r>
      <w:r>
        <w:t xml:space="preserve"> strane korisnika poslovnih prostora</w:t>
      </w:r>
      <w:r w:rsidR="0025796A">
        <w:t>)</w:t>
      </w:r>
      <w:r>
        <w:t xml:space="preserve">. </w:t>
      </w:r>
      <w:r w:rsidR="0025796A">
        <w:t>Gledajući cjenovne iznose, riječ o svotama koje za obveznike rezultiraju malim razlikama, dok bi na godišnjoj razini one imale ukupan znatan kumulativni učinak za Grad, odnosno, takvim iznosom bi se moglo financirati održavanje komunalne infrastrukture i dosegnutog komunalnog standarda građana grada Ivanca. Stoga Gradskom vijeću predlažemo usvajanje ove Odluke.</w:t>
      </w:r>
    </w:p>
    <w:p w:rsidR="000517E6" w:rsidRDefault="000517E6" w:rsidP="00B47E40">
      <w:pPr>
        <w:autoSpaceDE w:val="0"/>
        <w:autoSpaceDN w:val="0"/>
        <w:adjustRightInd w:val="0"/>
        <w:jc w:val="both"/>
      </w:pPr>
    </w:p>
    <w:p w:rsidR="000517E6" w:rsidRDefault="000517E6" w:rsidP="00B47E40">
      <w:pPr>
        <w:autoSpaceDE w:val="0"/>
        <w:autoSpaceDN w:val="0"/>
        <w:adjustRightInd w:val="0"/>
        <w:jc w:val="both"/>
      </w:pPr>
    </w:p>
    <w:p w:rsidR="000517E6" w:rsidRDefault="000517E6" w:rsidP="00B47E40">
      <w:pPr>
        <w:autoSpaceDE w:val="0"/>
        <w:autoSpaceDN w:val="0"/>
        <w:adjustRightInd w:val="0"/>
        <w:jc w:val="both"/>
      </w:pPr>
    </w:p>
    <w:p w:rsidR="000517E6" w:rsidRDefault="000517E6" w:rsidP="00B47E40">
      <w:pPr>
        <w:autoSpaceDE w:val="0"/>
        <w:autoSpaceDN w:val="0"/>
        <w:adjustRightInd w:val="0"/>
        <w:jc w:val="both"/>
      </w:pPr>
    </w:p>
    <w:p w:rsidR="000517E6" w:rsidRDefault="000517E6" w:rsidP="000517E6">
      <w:pPr>
        <w:autoSpaceDE w:val="0"/>
        <w:autoSpaceDN w:val="0"/>
        <w:adjustRightInd w:val="0"/>
        <w:ind w:firstLine="708"/>
        <w:jc w:val="both"/>
      </w:pPr>
      <w:r>
        <w:t xml:space="preserve">U </w:t>
      </w:r>
      <w:r w:rsidR="0025796A">
        <w:t>sljedećoj tablici donosimo simulaciju predloženih izmjena</w:t>
      </w:r>
      <w:r>
        <w:t xml:space="preserve"> na primjeru obiteljske kuće ili stana, na primjeru poslovnog </w:t>
      </w:r>
      <w:r w:rsidR="008C4527">
        <w:t>prostora za ostale djelatnosti</w:t>
      </w:r>
      <w:r>
        <w:t xml:space="preserve"> te na primjeru poslovnog prostora za proizvodne djelatnosti</w:t>
      </w:r>
      <w:r w:rsidR="008C4527">
        <w:t>.</w:t>
      </w:r>
    </w:p>
    <w:p w:rsidR="000517E6" w:rsidRDefault="000517E6" w:rsidP="00B47E40">
      <w:pPr>
        <w:autoSpaceDE w:val="0"/>
        <w:autoSpaceDN w:val="0"/>
        <w:adjustRightInd w:val="0"/>
        <w:jc w:val="both"/>
      </w:pPr>
    </w:p>
    <w:p w:rsidR="000517E6" w:rsidRDefault="000517E6" w:rsidP="00B47E40">
      <w:pPr>
        <w:autoSpaceDE w:val="0"/>
        <w:autoSpaceDN w:val="0"/>
        <w:adjustRightInd w:val="0"/>
        <w:jc w:val="both"/>
      </w:pPr>
    </w:p>
    <w:tbl>
      <w:tblPr>
        <w:tblStyle w:val="Reetkatablice"/>
        <w:tblW w:w="10031" w:type="dxa"/>
        <w:tblLook w:val="04A0" w:firstRow="1" w:lastRow="0" w:firstColumn="1" w:lastColumn="0" w:noHBand="0" w:noVBand="1"/>
      </w:tblPr>
      <w:tblGrid>
        <w:gridCol w:w="5039"/>
        <w:gridCol w:w="1732"/>
        <w:gridCol w:w="1701"/>
        <w:gridCol w:w="1559"/>
      </w:tblGrid>
      <w:tr w:rsidR="000517E6" w:rsidTr="000517E6">
        <w:tc>
          <w:tcPr>
            <w:tcW w:w="5039" w:type="dxa"/>
          </w:tcPr>
          <w:p w:rsidR="000517E6" w:rsidRDefault="000517E6" w:rsidP="00B47E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32" w:type="dxa"/>
          </w:tcPr>
          <w:p w:rsidR="000517E6" w:rsidRDefault="000517E6" w:rsidP="00B47E40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I.ZONA</w:t>
            </w:r>
            <w:proofErr w:type="spellEnd"/>
          </w:p>
        </w:tc>
        <w:tc>
          <w:tcPr>
            <w:tcW w:w="1701" w:type="dxa"/>
          </w:tcPr>
          <w:p w:rsidR="000517E6" w:rsidRDefault="000517E6" w:rsidP="00B47E40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II.ZONA</w:t>
            </w:r>
            <w:proofErr w:type="spellEnd"/>
          </w:p>
        </w:tc>
        <w:tc>
          <w:tcPr>
            <w:tcW w:w="1559" w:type="dxa"/>
          </w:tcPr>
          <w:p w:rsidR="000517E6" w:rsidRDefault="000517E6" w:rsidP="00B47E40">
            <w:pPr>
              <w:autoSpaceDE w:val="0"/>
              <w:autoSpaceDN w:val="0"/>
              <w:adjustRightInd w:val="0"/>
              <w:jc w:val="both"/>
            </w:pPr>
            <w:r>
              <w:t>III. ZONA</w:t>
            </w:r>
          </w:p>
        </w:tc>
      </w:tr>
      <w:tr w:rsidR="000517E6" w:rsidTr="000517E6">
        <w:tc>
          <w:tcPr>
            <w:tcW w:w="5039" w:type="dxa"/>
          </w:tcPr>
          <w:p w:rsidR="000517E6" w:rsidRDefault="000517E6" w:rsidP="00B47E40">
            <w:pPr>
              <w:autoSpaceDE w:val="0"/>
              <w:autoSpaceDN w:val="0"/>
              <w:adjustRightInd w:val="0"/>
              <w:jc w:val="both"/>
            </w:pPr>
            <w:r>
              <w:t>Obiteljska kuća ili stan (prije izmjene)</w:t>
            </w:r>
          </w:p>
        </w:tc>
        <w:tc>
          <w:tcPr>
            <w:tcW w:w="1732" w:type="dxa"/>
          </w:tcPr>
          <w:p w:rsidR="000517E6" w:rsidRDefault="000517E6" w:rsidP="00B47E40">
            <w:pPr>
              <w:autoSpaceDE w:val="0"/>
              <w:autoSpaceDN w:val="0"/>
              <w:adjustRightInd w:val="0"/>
              <w:jc w:val="both"/>
            </w:pPr>
            <w:r>
              <w:t>0,32 kn</w:t>
            </w:r>
          </w:p>
        </w:tc>
        <w:tc>
          <w:tcPr>
            <w:tcW w:w="1701" w:type="dxa"/>
          </w:tcPr>
          <w:p w:rsidR="000517E6" w:rsidRDefault="000517E6" w:rsidP="00B47E40">
            <w:pPr>
              <w:autoSpaceDE w:val="0"/>
              <w:autoSpaceDN w:val="0"/>
              <w:adjustRightInd w:val="0"/>
              <w:jc w:val="both"/>
            </w:pPr>
            <w:r>
              <w:t>0,26 kn</w:t>
            </w:r>
          </w:p>
        </w:tc>
        <w:tc>
          <w:tcPr>
            <w:tcW w:w="1559" w:type="dxa"/>
          </w:tcPr>
          <w:p w:rsidR="000517E6" w:rsidRDefault="000517E6" w:rsidP="00B47E40">
            <w:pPr>
              <w:autoSpaceDE w:val="0"/>
              <w:autoSpaceDN w:val="0"/>
              <w:adjustRightInd w:val="0"/>
              <w:jc w:val="both"/>
            </w:pPr>
            <w:r>
              <w:t>0,21 kn</w:t>
            </w:r>
          </w:p>
        </w:tc>
      </w:tr>
      <w:tr w:rsidR="000517E6" w:rsidTr="000517E6">
        <w:tc>
          <w:tcPr>
            <w:tcW w:w="5039" w:type="dxa"/>
          </w:tcPr>
          <w:p w:rsidR="000517E6" w:rsidRDefault="000517E6" w:rsidP="00B47E40">
            <w:pPr>
              <w:autoSpaceDE w:val="0"/>
              <w:autoSpaceDN w:val="0"/>
              <w:adjustRightInd w:val="0"/>
              <w:jc w:val="both"/>
            </w:pPr>
            <w:r>
              <w:t>Obiteljska kuća ili stan (poslije izmjene)</w:t>
            </w:r>
          </w:p>
        </w:tc>
        <w:tc>
          <w:tcPr>
            <w:tcW w:w="1732" w:type="dxa"/>
          </w:tcPr>
          <w:p w:rsidR="000517E6" w:rsidRPr="000517E6" w:rsidRDefault="000517E6" w:rsidP="00B47E4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517E6">
              <w:rPr>
                <w:b/>
              </w:rPr>
              <w:t>0,40 kn</w:t>
            </w:r>
          </w:p>
        </w:tc>
        <w:tc>
          <w:tcPr>
            <w:tcW w:w="1701" w:type="dxa"/>
          </w:tcPr>
          <w:p w:rsidR="000517E6" w:rsidRPr="000517E6" w:rsidRDefault="000517E6" w:rsidP="00B47E4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517E6">
              <w:rPr>
                <w:b/>
              </w:rPr>
              <w:t>0,33 kn</w:t>
            </w:r>
          </w:p>
        </w:tc>
        <w:tc>
          <w:tcPr>
            <w:tcW w:w="1559" w:type="dxa"/>
          </w:tcPr>
          <w:p w:rsidR="000517E6" w:rsidRPr="000517E6" w:rsidRDefault="000517E6" w:rsidP="00B47E4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517E6">
              <w:rPr>
                <w:b/>
              </w:rPr>
              <w:t>0,26 kn</w:t>
            </w:r>
          </w:p>
        </w:tc>
      </w:tr>
      <w:tr w:rsidR="000517E6" w:rsidTr="000517E6">
        <w:tc>
          <w:tcPr>
            <w:tcW w:w="5039" w:type="dxa"/>
          </w:tcPr>
          <w:p w:rsidR="000517E6" w:rsidRDefault="000517E6" w:rsidP="00B47E40">
            <w:pPr>
              <w:autoSpaceDE w:val="0"/>
              <w:autoSpaceDN w:val="0"/>
              <w:adjustRightInd w:val="0"/>
              <w:jc w:val="both"/>
            </w:pPr>
            <w:r>
              <w:t>Poslovni prostor za ostale djelatnosti (prije izmjene)</w:t>
            </w:r>
          </w:p>
        </w:tc>
        <w:tc>
          <w:tcPr>
            <w:tcW w:w="1732" w:type="dxa"/>
          </w:tcPr>
          <w:p w:rsidR="000517E6" w:rsidRDefault="000517E6" w:rsidP="00B47E40">
            <w:pPr>
              <w:autoSpaceDE w:val="0"/>
              <w:autoSpaceDN w:val="0"/>
              <w:adjustRightInd w:val="0"/>
              <w:jc w:val="both"/>
            </w:pPr>
            <w:r>
              <w:t>1,18 kn</w:t>
            </w:r>
          </w:p>
        </w:tc>
        <w:tc>
          <w:tcPr>
            <w:tcW w:w="1701" w:type="dxa"/>
          </w:tcPr>
          <w:p w:rsidR="000517E6" w:rsidRDefault="000517E6" w:rsidP="00B47E40">
            <w:pPr>
              <w:autoSpaceDE w:val="0"/>
              <w:autoSpaceDN w:val="0"/>
              <w:adjustRightInd w:val="0"/>
              <w:jc w:val="both"/>
            </w:pPr>
            <w:r>
              <w:t>0,97 kn</w:t>
            </w:r>
          </w:p>
        </w:tc>
        <w:tc>
          <w:tcPr>
            <w:tcW w:w="1559" w:type="dxa"/>
          </w:tcPr>
          <w:p w:rsidR="000517E6" w:rsidRDefault="000517E6" w:rsidP="00B47E40">
            <w:pPr>
              <w:autoSpaceDE w:val="0"/>
              <w:autoSpaceDN w:val="0"/>
              <w:adjustRightInd w:val="0"/>
              <w:jc w:val="both"/>
            </w:pPr>
            <w:r>
              <w:t>0,77 kn</w:t>
            </w:r>
          </w:p>
        </w:tc>
      </w:tr>
      <w:tr w:rsidR="000517E6" w:rsidTr="000517E6">
        <w:tc>
          <w:tcPr>
            <w:tcW w:w="5039" w:type="dxa"/>
          </w:tcPr>
          <w:p w:rsidR="000517E6" w:rsidRDefault="000517E6" w:rsidP="00B47E40">
            <w:pPr>
              <w:autoSpaceDE w:val="0"/>
              <w:autoSpaceDN w:val="0"/>
              <w:adjustRightInd w:val="0"/>
              <w:jc w:val="both"/>
            </w:pPr>
            <w:r w:rsidRPr="000517E6">
              <w:t>Poslovni pros</w:t>
            </w:r>
            <w:r>
              <w:t>tor za ostale djelatnosti (poslije</w:t>
            </w:r>
            <w:r w:rsidRPr="000517E6">
              <w:t xml:space="preserve"> izmjene)</w:t>
            </w:r>
          </w:p>
        </w:tc>
        <w:tc>
          <w:tcPr>
            <w:tcW w:w="1732" w:type="dxa"/>
          </w:tcPr>
          <w:p w:rsidR="000517E6" w:rsidRPr="000517E6" w:rsidRDefault="000517E6" w:rsidP="00B47E4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517E6">
              <w:rPr>
                <w:b/>
              </w:rPr>
              <w:t>2,00 kn</w:t>
            </w:r>
          </w:p>
        </w:tc>
        <w:tc>
          <w:tcPr>
            <w:tcW w:w="1701" w:type="dxa"/>
          </w:tcPr>
          <w:p w:rsidR="000517E6" w:rsidRPr="000517E6" w:rsidRDefault="000517E6" w:rsidP="00B47E4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517E6">
              <w:rPr>
                <w:b/>
              </w:rPr>
              <w:t>1,64 kn</w:t>
            </w:r>
          </w:p>
        </w:tc>
        <w:tc>
          <w:tcPr>
            <w:tcW w:w="1559" w:type="dxa"/>
          </w:tcPr>
          <w:p w:rsidR="000517E6" w:rsidRPr="000517E6" w:rsidRDefault="000517E6" w:rsidP="00B47E4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517E6">
              <w:rPr>
                <w:b/>
              </w:rPr>
              <w:t xml:space="preserve">1,30 kn </w:t>
            </w:r>
          </w:p>
        </w:tc>
      </w:tr>
      <w:tr w:rsidR="000517E6" w:rsidTr="000517E6">
        <w:tc>
          <w:tcPr>
            <w:tcW w:w="5039" w:type="dxa"/>
          </w:tcPr>
          <w:p w:rsidR="000517E6" w:rsidRDefault="000517E6" w:rsidP="00B47E40">
            <w:pPr>
              <w:autoSpaceDE w:val="0"/>
              <w:autoSpaceDN w:val="0"/>
              <w:adjustRightInd w:val="0"/>
              <w:jc w:val="both"/>
            </w:pPr>
            <w:r>
              <w:t xml:space="preserve">Poslovni prostor za proizvodne </w:t>
            </w:r>
            <w:r w:rsidRPr="000517E6">
              <w:t xml:space="preserve"> djelatnosti (prije izmjene)</w:t>
            </w:r>
          </w:p>
        </w:tc>
        <w:tc>
          <w:tcPr>
            <w:tcW w:w="1732" w:type="dxa"/>
          </w:tcPr>
          <w:p w:rsidR="000517E6" w:rsidRDefault="000517E6" w:rsidP="00B47E40">
            <w:pPr>
              <w:autoSpaceDE w:val="0"/>
              <w:autoSpaceDN w:val="0"/>
              <w:adjustRightInd w:val="0"/>
              <w:jc w:val="both"/>
            </w:pPr>
            <w:r>
              <w:t>0,39 kn</w:t>
            </w:r>
          </w:p>
        </w:tc>
        <w:tc>
          <w:tcPr>
            <w:tcW w:w="1701" w:type="dxa"/>
          </w:tcPr>
          <w:p w:rsidR="000517E6" w:rsidRDefault="000517E6" w:rsidP="00B47E40">
            <w:pPr>
              <w:autoSpaceDE w:val="0"/>
              <w:autoSpaceDN w:val="0"/>
              <w:adjustRightInd w:val="0"/>
              <w:jc w:val="both"/>
            </w:pPr>
            <w:r>
              <w:t>0,39 kn</w:t>
            </w:r>
          </w:p>
        </w:tc>
        <w:tc>
          <w:tcPr>
            <w:tcW w:w="1559" w:type="dxa"/>
          </w:tcPr>
          <w:p w:rsidR="000517E6" w:rsidRDefault="000517E6" w:rsidP="00B47E40">
            <w:pPr>
              <w:autoSpaceDE w:val="0"/>
              <w:autoSpaceDN w:val="0"/>
              <w:adjustRightInd w:val="0"/>
              <w:jc w:val="both"/>
            </w:pPr>
            <w:r>
              <w:t>0,31 kn</w:t>
            </w:r>
          </w:p>
        </w:tc>
      </w:tr>
      <w:tr w:rsidR="000517E6" w:rsidTr="000517E6">
        <w:tc>
          <w:tcPr>
            <w:tcW w:w="5039" w:type="dxa"/>
          </w:tcPr>
          <w:p w:rsidR="000517E6" w:rsidRDefault="000517E6" w:rsidP="00B47E40">
            <w:pPr>
              <w:autoSpaceDE w:val="0"/>
              <w:autoSpaceDN w:val="0"/>
              <w:adjustRightInd w:val="0"/>
              <w:jc w:val="both"/>
            </w:pPr>
            <w:r w:rsidRPr="000517E6">
              <w:t xml:space="preserve">Poslovni prostor za proizvodne </w:t>
            </w:r>
            <w:r>
              <w:t xml:space="preserve"> djelatnosti (poslije</w:t>
            </w:r>
            <w:r w:rsidRPr="000517E6">
              <w:t xml:space="preserve"> izmjene)</w:t>
            </w:r>
          </w:p>
        </w:tc>
        <w:tc>
          <w:tcPr>
            <w:tcW w:w="1732" w:type="dxa"/>
          </w:tcPr>
          <w:p w:rsidR="000517E6" w:rsidRPr="000517E6" w:rsidRDefault="000517E6" w:rsidP="00B47E4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517E6">
              <w:rPr>
                <w:b/>
              </w:rPr>
              <w:t>0,49 kn</w:t>
            </w:r>
          </w:p>
        </w:tc>
        <w:tc>
          <w:tcPr>
            <w:tcW w:w="1701" w:type="dxa"/>
          </w:tcPr>
          <w:p w:rsidR="000517E6" w:rsidRPr="000517E6" w:rsidRDefault="000517E6" w:rsidP="00B47E4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517E6">
              <w:rPr>
                <w:b/>
              </w:rPr>
              <w:t>0,49 kn</w:t>
            </w:r>
          </w:p>
        </w:tc>
        <w:tc>
          <w:tcPr>
            <w:tcW w:w="1559" w:type="dxa"/>
          </w:tcPr>
          <w:p w:rsidR="000517E6" w:rsidRPr="000517E6" w:rsidRDefault="000517E6" w:rsidP="00B47E4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517E6">
              <w:rPr>
                <w:b/>
              </w:rPr>
              <w:t>0,39 kn</w:t>
            </w:r>
          </w:p>
        </w:tc>
      </w:tr>
    </w:tbl>
    <w:p w:rsidR="000517E6" w:rsidRDefault="000517E6" w:rsidP="00B47E40">
      <w:pPr>
        <w:autoSpaceDE w:val="0"/>
        <w:autoSpaceDN w:val="0"/>
        <w:adjustRightInd w:val="0"/>
        <w:jc w:val="both"/>
      </w:pPr>
    </w:p>
    <w:p w:rsidR="000517E6" w:rsidRDefault="000517E6" w:rsidP="00B47E40">
      <w:pPr>
        <w:autoSpaceDE w:val="0"/>
        <w:autoSpaceDN w:val="0"/>
        <w:adjustRightInd w:val="0"/>
        <w:jc w:val="both"/>
      </w:pPr>
    </w:p>
    <w:p w:rsidR="00321B46" w:rsidRDefault="00321B46" w:rsidP="00742C76">
      <w:pPr>
        <w:autoSpaceDE w:val="0"/>
        <w:autoSpaceDN w:val="0"/>
        <w:adjustRightInd w:val="0"/>
        <w:ind w:firstLine="708"/>
        <w:jc w:val="both"/>
      </w:pPr>
      <w:r>
        <w:t>Radi usporedbe, u sljedećoj tablici je prikaz visine komunalne naknade u pojedinim gradovima sjeverne Hrvatske.</w:t>
      </w:r>
    </w:p>
    <w:p w:rsidR="00321B46" w:rsidRDefault="00321B46" w:rsidP="00742C76">
      <w:pPr>
        <w:autoSpaceDE w:val="0"/>
        <w:autoSpaceDN w:val="0"/>
        <w:adjustRightInd w:val="0"/>
        <w:ind w:firstLine="708"/>
        <w:jc w:val="both"/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177"/>
        <w:gridCol w:w="1283"/>
        <w:gridCol w:w="960"/>
        <w:gridCol w:w="1273"/>
        <w:gridCol w:w="284"/>
        <w:gridCol w:w="1134"/>
        <w:gridCol w:w="1701"/>
        <w:gridCol w:w="1134"/>
      </w:tblGrid>
      <w:tr w:rsidR="00321B46" w:rsidRPr="00321B46" w:rsidTr="00321B46">
        <w:trPr>
          <w:trHeight w:val="25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321B46" w:rsidRPr="00321B46" w:rsidTr="00321B46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321B46">
              <w:rPr>
                <w:b/>
                <w:bCs/>
                <w:sz w:val="20"/>
                <w:szCs w:val="20"/>
              </w:rPr>
              <w:t>RED.BR.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321B46">
              <w:rPr>
                <w:b/>
                <w:bCs/>
                <w:sz w:val="20"/>
                <w:szCs w:val="20"/>
              </w:rPr>
              <w:t>GRAD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  <w:rPr>
                <w:sz w:val="20"/>
                <w:szCs w:val="20"/>
              </w:rPr>
            </w:pPr>
            <w:r w:rsidRPr="00321B46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321B46">
              <w:rPr>
                <w:b/>
                <w:bCs/>
                <w:sz w:val="20"/>
                <w:szCs w:val="20"/>
              </w:rPr>
              <w:t>VISINA KN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  <w:rPr>
                <w:sz w:val="20"/>
                <w:szCs w:val="20"/>
              </w:rPr>
            </w:pPr>
            <w:r w:rsidRPr="00321B4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321B46">
              <w:rPr>
                <w:b/>
                <w:bCs/>
                <w:sz w:val="20"/>
                <w:szCs w:val="20"/>
              </w:rPr>
              <w:t>ZONA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321B46">
              <w:rPr>
                <w:b/>
                <w:bCs/>
                <w:sz w:val="20"/>
                <w:szCs w:val="20"/>
              </w:rPr>
              <w:t>ZONA 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321B46">
              <w:rPr>
                <w:b/>
                <w:bCs/>
                <w:sz w:val="20"/>
                <w:szCs w:val="20"/>
              </w:rPr>
              <w:t>ZONA III</w:t>
            </w:r>
          </w:p>
        </w:tc>
      </w:tr>
      <w:tr w:rsidR="00321B46" w:rsidRPr="00321B46" w:rsidTr="00F72E6C">
        <w:trPr>
          <w:trHeight w:val="17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  <w:r w:rsidRPr="00321B46"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  <w:r w:rsidRPr="00321B4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  <w:r w:rsidRPr="00321B46"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  <w:r w:rsidRPr="00321B46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  <w:r w:rsidRPr="00321B4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  <w:r w:rsidRPr="00321B4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  <w:r w:rsidRPr="00321B46">
              <w:t> </w:t>
            </w:r>
          </w:p>
        </w:tc>
      </w:tr>
      <w:tr w:rsidR="00321B46" w:rsidRPr="00321B46" w:rsidTr="00321B46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bCs/>
              </w:rPr>
            </w:pPr>
            <w:r w:rsidRPr="00321B46">
              <w:rPr>
                <w:b/>
                <w:bCs/>
              </w:rPr>
              <w:t xml:space="preserve">1. 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21B46">
              <w:rPr>
                <w:b/>
                <w:bCs/>
              </w:rPr>
              <w:t>IVANEC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  <w:r w:rsidRPr="00321B46"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21B46">
              <w:rPr>
                <w:b/>
                <w:bCs/>
              </w:rPr>
              <w:t>0,32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  <w:r w:rsidRPr="00321B46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bCs/>
              </w:rPr>
            </w:pPr>
            <w:r w:rsidRPr="00321B46">
              <w:rPr>
                <w:b/>
                <w:bCs/>
              </w:rPr>
              <w:t xml:space="preserve">    1,00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bCs/>
              </w:rPr>
            </w:pPr>
            <w:r w:rsidRPr="00321B46">
              <w:rPr>
                <w:b/>
                <w:bCs/>
              </w:rPr>
              <w:t>0,82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bCs/>
              </w:rPr>
            </w:pPr>
            <w:r w:rsidRPr="00321B46">
              <w:rPr>
                <w:b/>
                <w:bCs/>
              </w:rPr>
              <w:t xml:space="preserve">    0,65    </w:t>
            </w:r>
          </w:p>
        </w:tc>
      </w:tr>
      <w:tr w:rsidR="00321B46" w:rsidRPr="00321B46" w:rsidTr="00321B46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  <w:r w:rsidRPr="00321B46">
              <w:t xml:space="preserve">2.  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jc w:val="both"/>
            </w:pPr>
            <w:r w:rsidRPr="00321B46">
              <w:t>LEPOGLAVA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jc w:val="both"/>
            </w:pPr>
            <w:r w:rsidRPr="00321B46">
              <w:t>0,20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  <w:r w:rsidRPr="00321B46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  <w:r w:rsidRPr="00321B46">
              <w:t xml:space="preserve">    1,00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  <w:r w:rsidRPr="00321B46">
              <w:t>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  <w:r w:rsidRPr="00321B46">
              <w:t xml:space="preserve">    0,80    </w:t>
            </w:r>
          </w:p>
        </w:tc>
      </w:tr>
      <w:tr w:rsidR="00321B46" w:rsidRPr="00321B46" w:rsidTr="00321B46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  <w:r w:rsidRPr="00321B46">
              <w:t xml:space="preserve">3. 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jc w:val="both"/>
            </w:pPr>
            <w:r w:rsidRPr="00321B46">
              <w:t>VARAŽDIN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jc w:val="both"/>
            </w:pPr>
            <w:r w:rsidRPr="00321B46">
              <w:t>0,40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  <w:r w:rsidRPr="00321B4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  <w:r w:rsidRPr="00321B46">
              <w:t xml:space="preserve">    1,00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  <w:r w:rsidRPr="00321B46">
              <w:t>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  <w:r w:rsidRPr="00321B46">
              <w:t xml:space="preserve">    0,80    </w:t>
            </w:r>
          </w:p>
        </w:tc>
      </w:tr>
      <w:tr w:rsidR="00321B46" w:rsidRPr="00321B46" w:rsidTr="00321B46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  <w:r w:rsidRPr="00321B46">
              <w:t xml:space="preserve">4. 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21B46">
              <w:t>VŽD.TOPLICE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jc w:val="both"/>
            </w:pPr>
            <w:r w:rsidRPr="00321B46">
              <w:t>0,30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  <w:r w:rsidRPr="00321B4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  <w:r w:rsidRPr="00321B46">
              <w:t xml:space="preserve">    1,00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  <w:r w:rsidRPr="00321B46">
              <w:t>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  <w:r w:rsidRPr="00321B46">
              <w:t xml:space="preserve">    0,85    </w:t>
            </w:r>
          </w:p>
        </w:tc>
      </w:tr>
      <w:tr w:rsidR="00321B46" w:rsidRPr="00321B46" w:rsidTr="00321B46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  <w:r w:rsidRPr="00321B46">
              <w:t xml:space="preserve">5. 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jc w:val="both"/>
            </w:pPr>
            <w:r w:rsidRPr="00321B46">
              <w:t>LUDBREG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jc w:val="both"/>
            </w:pPr>
            <w:r w:rsidRPr="00321B46">
              <w:t>0,25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  <w:r w:rsidRPr="00321B4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  <w:r w:rsidRPr="00321B46">
              <w:t xml:space="preserve">    1,00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  <w:r w:rsidRPr="00321B46"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  <w:r w:rsidRPr="00321B46">
              <w:t xml:space="preserve">    0,60    </w:t>
            </w:r>
          </w:p>
        </w:tc>
      </w:tr>
      <w:tr w:rsidR="00321B46" w:rsidRPr="00321B46" w:rsidTr="00321B46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  <w:r w:rsidRPr="00321B46">
              <w:t xml:space="preserve">6. 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jc w:val="both"/>
            </w:pPr>
            <w:r w:rsidRPr="00321B46">
              <w:t>NOVI MAROF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jc w:val="both"/>
            </w:pPr>
            <w:r w:rsidRPr="00321B46">
              <w:t>0,50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  <w:r w:rsidRPr="00321B4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  <w:r w:rsidRPr="00321B46">
              <w:t xml:space="preserve">    1,00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  <w:r w:rsidRPr="00321B46">
              <w:t>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  <w:r w:rsidRPr="00321B46">
              <w:t xml:space="preserve">       -      </w:t>
            </w:r>
          </w:p>
        </w:tc>
      </w:tr>
      <w:tr w:rsidR="00321B46" w:rsidRPr="00321B46" w:rsidTr="00321B46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  <w:r w:rsidRPr="00321B46">
              <w:t xml:space="preserve">7.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jc w:val="both"/>
            </w:pPr>
            <w:r w:rsidRPr="00321B46">
              <w:t>ZABOK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  <w:r w:rsidRPr="00321B46"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jc w:val="both"/>
            </w:pPr>
            <w:r w:rsidRPr="00321B46">
              <w:t>0,80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  <w:r w:rsidRPr="00321B4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  <w:r w:rsidRPr="00321B46">
              <w:t xml:space="preserve">    1,00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  <w:r w:rsidRPr="00321B46"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  <w:r w:rsidRPr="00321B46">
              <w:t xml:space="preserve">    0,60    </w:t>
            </w:r>
          </w:p>
        </w:tc>
      </w:tr>
      <w:tr w:rsidR="00321B46" w:rsidRPr="00321B46" w:rsidTr="00321B46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  <w:r w:rsidRPr="00321B46">
              <w:t>8.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jc w:val="both"/>
            </w:pPr>
            <w:r w:rsidRPr="00321B46">
              <w:t>KRAPINA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  <w:r w:rsidRPr="00321B46"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  <w:r w:rsidRPr="00321B46">
              <w:t xml:space="preserve">      </w:t>
            </w:r>
            <w:r>
              <w:t xml:space="preserve">       </w:t>
            </w:r>
            <w:r w:rsidRPr="00321B46">
              <w:t xml:space="preserve">0,15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  <w:r w:rsidRPr="00321B4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  <w:r w:rsidRPr="00321B46">
              <w:t xml:space="preserve">    1,00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  <w:r w:rsidRPr="00321B46">
              <w:t>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  <w:r w:rsidRPr="00321B46">
              <w:t xml:space="preserve">    0,70    </w:t>
            </w:r>
          </w:p>
        </w:tc>
      </w:tr>
      <w:tr w:rsidR="00321B46" w:rsidRPr="00321B46" w:rsidTr="00321B46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  <w:r w:rsidRPr="00321B46">
              <w:t xml:space="preserve">9.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jc w:val="both"/>
            </w:pPr>
            <w:r w:rsidRPr="00321B46">
              <w:t>PRELOG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  <w:r w:rsidRPr="00321B46"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  <w:r w:rsidRPr="00321B46">
              <w:t xml:space="preserve">      0,32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  <w:r w:rsidRPr="00321B4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  <w:r w:rsidRPr="00321B46">
              <w:t xml:space="preserve">    1,00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  <w:r w:rsidRPr="00321B46">
              <w:t>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  <w:r w:rsidRPr="00321B46">
              <w:t xml:space="preserve">       -      </w:t>
            </w:r>
          </w:p>
        </w:tc>
      </w:tr>
      <w:tr w:rsidR="00321B46" w:rsidRPr="00321B46" w:rsidTr="00F72E6C">
        <w:trPr>
          <w:trHeight w:val="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t>10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jc w:val="both"/>
            </w:pPr>
            <w:r w:rsidRPr="00321B46">
              <w:t>ČAKOVEC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jc w:val="both"/>
            </w:pPr>
            <w:r w:rsidRPr="00321B46">
              <w:t>0,33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  <w:r w:rsidRPr="00321B4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  <w:r w:rsidRPr="00321B46">
              <w:t xml:space="preserve">    1,00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  <w:r w:rsidRPr="00321B46"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  <w:r w:rsidRPr="00321B46">
              <w:t xml:space="preserve">    0,60    </w:t>
            </w:r>
          </w:p>
        </w:tc>
      </w:tr>
      <w:tr w:rsidR="00321B46" w:rsidRPr="00321B46" w:rsidTr="00321B46">
        <w:trPr>
          <w:trHeight w:val="25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321B46" w:rsidRPr="00321B46" w:rsidTr="00321B46">
        <w:trPr>
          <w:trHeight w:val="25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46" w:rsidRPr="00321B46" w:rsidRDefault="00321B46" w:rsidP="00321B4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</w:tbl>
    <w:p w:rsidR="00E011F5" w:rsidRPr="0046621B" w:rsidRDefault="00E011F5" w:rsidP="00E011F5">
      <w:pPr>
        <w:rPr>
          <w:color w:val="000000"/>
        </w:rPr>
      </w:pPr>
    </w:p>
    <w:p w:rsidR="00E011F5" w:rsidRPr="0046621B" w:rsidRDefault="00E011F5" w:rsidP="00E011F5">
      <w:pPr>
        <w:jc w:val="right"/>
        <w:rPr>
          <w:rStyle w:val="Naglaeno"/>
          <w:b w:val="0"/>
        </w:rPr>
      </w:pPr>
      <w:r w:rsidRPr="0046621B">
        <w:rPr>
          <w:rStyle w:val="Naglaeno"/>
        </w:rPr>
        <w:t>Upravni odjel za urbanizam,</w:t>
      </w:r>
    </w:p>
    <w:p w:rsidR="0094517E" w:rsidRPr="0046621B" w:rsidRDefault="00E011F5" w:rsidP="00F72E6C">
      <w:pPr>
        <w:jc w:val="right"/>
        <w:rPr>
          <w:rFonts w:ascii="Arial" w:hAnsi="Arial" w:cs="Arial"/>
        </w:rPr>
      </w:pPr>
      <w:r w:rsidRPr="0046621B">
        <w:rPr>
          <w:rStyle w:val="Naglaeno"/>
        </w:rPr>
        <w:t>komunalne poslove i zaštitu okoliša</w:t>
      </w:r>
    </w:p>
    <w:sectPr w:rsidR="0094517E" w:rsidRPr="0046621B" w:rsidSect="007838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698" w:rsidRDefault="00577698" w:rsidP="0052095A">
      <w:r>
        <w:separator/>
      </w:r>
    </w:p>
  </w:endnote>
  <w:endnote w:type="continuationSeparator" w:id="0">
    <w:p w:rsidR="00577698" w:rsidRDefault="00577698" w:rsidP="0052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7D9" w:rsidRDefault="002357D9">
    <w:pPr>
      <w:pStyle w:val="Podnoje"/>
      <w:jc w:val="right"/>
    </w:pPr>
  </w:p>
  <w:p w:rsidR="002357D9" w:rsidRDefault="002357D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D5" w:rsidRDefault="00DA7CD5">
    <w:pPr>
      <w:pStyle w:val="Podnoje"/>
      <w:jc w:val="right"/>
    </w:pPr>
  </w:p>
  <w:p w:rsidR="00DA7CD5" w:rsidRDefault="00DA7C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698" w:rsidRDefault="00577698" w:rsidP="0052095A">
      <w:r>
        <w:separator/>
      </w:r>
    </w:p>
  </w:footnote>
  <w:footnote w:type="continuationSeparator" w:id="0">
    <w:p w:rsidR="00577698" w:rsidRDefault="00577698" w:rsidP="00520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370"/>
    <w:multiLevelType w:val="hybridMultilevel"/>
    <w:tmpl w:val="1BD044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85296"/>
    <w:multiLevelType w:val="hybridMultilevel"/>
    <w:tmpl w:val="39B8A6E0"/>
    <w:lvl w:ilvl="0" w:tplc="F4AE804C">
      <w:start w:val="1"/>
      <w:numFmt w:val="lowerLetter"/>
      <w:lvlText w:val="%1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853"/>
        </w:tabs>
        <w:ind w:left="285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573"/>
        </w:tabs>
        <w:ind w:left="357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293"/>
        </w:tabs>
        <w:ind w:left="429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013"/>
        </w:tabs>
        <w:ind w:left="501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733"/>
        </w:tabs>
        <w:ind w:left="573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453"/>
        </w:tabs>
        <w:ind w:left="645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173"/>
        </w:tabs>
        <w:ind w:left="717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893"/>
        </w:tabs>
        <w:ind w:left="7893" w:hanging="180"/>
      </w:pPr>
    </w:lvl>
  </w:abstractNum>
  <w:abstractNum w:abstractNumId="2">
    <w:nsid w:val="0A713EA6"/>
    <w:multiLevelType w:val="hybridMultilevel"/>
    <w:tmpl w:val="2BDAB3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73B05"/>
    <w:multiLevelType w:val="hybridMultilevel"/>
    <w:tmpl w:val="F9480B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D6459"/>
    <w:multiLevelType w:val="hybridMultilevel"/>
    <w:tmpl w:val="637C2096"/>
    <w:lvl w:ilvl="0" w:tplc="123CF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421F35"/>
    <w:multiLevelType w:val="hybridMultilevel"/>
    <w:tmpl w:val="89B0C21A"/>
    <w:lvl w:ilvl="0" w:tplc="F4AE804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6">
    <w:nsid w:val="2A4E3520"/>
    <w:multiLevelType w:val="hybridMultilevel"/>
    <w:tmpl w:val="9B4C5A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64D15"/>
    <w:multiLevelType w:val="hybridMultilevel"/>
    <w:tmpl w:val="E8D83B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703D0"/>
    <w:multiLevelType w:val="hybridMultilevel"/>
    <w:tmpl w:val="61C8B832"/>
    <w:lvl w:ilvl="0" w:tplc="DDEEA76C">
      <w:start w:val="200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3A702005"/>
    <w:multiLevelType w:val="hybridMultilevel"/>
    <w:tmpl w:val="55BA514A"/>
    <w:lvl w:ilvl="0" w:tplc="F4AE804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0">
    <w:nsid w:val="3D0078B6"/>
    <w:multiLevelType w:val="hybridMultilevel"/>
    <w:tmpl w:val="8088829E"/>
    <w:lvl w:ilvl="0" w:tplc="048A5DA4">
      <w:numFmt w:val="bullet"/>
      <w:lvlText w:val="-"/>
      <w:lvlJc w:val="left"/>
      <w:pPr>
        <w:tabs>
          <w:tab w:val="num" w:pos="2301"/>
        </w:tabs>
        <w:ind w:left="2301" w:hanging="88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D1A5209"/>
    <w:multiLevelType w:val="hybridMultilevel"/>
    <w:tmpl w:val="B6043F78"/>
    <w:lvl w:ilvl="0" w:tplc="041A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2">
    <w:nsid w:val="3F210B39"/>
    <w:multiLevelType w:val="hybridMultilevel"/>
    <w:tmpl w:val="64A8F4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02CE5"/>
    <w:multiLevelType w:val="hybridMultilevel"/>
    <w:tmpl w:val="417478D2"/>
    <w:lvl w:ilvl="0" w:tplc="B972F5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FA4980"/>
    <w:multiLevelType w:val="hybridMultilevel"/>
    <w:tmpl w:val="DC4CD572"/>
    <w:lvl w:ilvl="0" w:tplc="672204A0"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67D4A"/>
    <w:multiLevelType w:val="hybridMultilevel"/>
    <w:tmpl w:val="5FD61F04"/>
    <w:lvl w:ilvl="0" w:tplc="A19EB758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6">
    <w:nsid w:val="58015B56"/>
    <w:multiLevelType w:val="singleLevel"/>
    <w:tmpl w:val="3DCC4250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587007B4"/>
    <w:multiLevelType w:val="singleLevel"/>
    <w:tmpl w:val="3DCC4250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62F22A5A"/>
    <w:multiLevelType w:val="hybridMultilevel"/>
    <w:tmpl w:val="96BC1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DB52D5"/>
    <w:multiLevelType w:val="hybridMultilevel"/>
    <w:tmpl w:val="3FC26A86"/>
    <w:lvl w:ilvl="0" w:tplc="4134B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A3D049D"/>
    <w:multiLevelType w:val="hybridMultilevel"/>
    <w:tmpl w:val="78360F2E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FCC26DE"/>
    <w:multiLevelType w:val="hybridMultilevel"/>
    <w:tmpl w:val="F50429D2"/>
    <w:lvl w:ilvl="0" w:tplc="AEC654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74367DF0"/>
    <w:multiLevelType w:val="hybridMultilevel"/>
    <w:tmpl w:val="70C809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B20EC"/>
    <w:multiLevelType w:val="singleLevel"/>
    <w:tmpl w:val="6BE4A18E"/>
    <w:lvl w:ilvl="0">
      <w:start w:val="21"/>
      <w:numFmt w:val="bullet"/>
      <w:lvlText w:val="-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</w:rPr>
    </w:lvl>
  </w:abstractNum>
  <w:abstractNum w:abstractNumId="24">
    <w:nsid w:val="78F17D80"/>
    <w:multiLevelType w:val="hybridMultilevel"/>
    <w:tmpl w:val="5266A6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4217CB"/>
    <w:multiLevelType w:val="hybridMultilevel"/>
    <w:tmpl w:val="A56469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5C30FC"/>
    <w:multiLevelType w:val="hybridMultilevel"/>
    <w:tmpl w:val="9FD2A498"/>
    <w:lvl w:ilvl="0" w:tplc="C9F66B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73247C"/>
    <w:multiLevelType w:val="singleLevel"/>
    <w:tmpl w:val="6BE4A18E"/>
    <w:lvl w:ilvl="0">
      <w:start w:val="21"/>
      <w:numFmt w:val="bullet"/>
      <w:lvlText w:val="-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</w:rPr>
    </w:lvl>
  </w:abstractNum>
  <w:num w:numId="1">
    <w:abstractNumId w:val="21"/>
  </w:num>
  <w:num w:numId="2">
    <w:abstractNumId w:val="15"/>
  </w:num>
  <w:num w:numId="3">
    <w:abstractNumId w:val="8"/>
  </w:num>
  <w:num w:numId="4">
    <w:abstractNumId w:val="13"/>
  </w:num>
  <w:num w:numId="5">
    <w:abstractNumId w:val="3"/>
  </w:num>
  <w:num w:numId="6">
    <w:abstractNumId w:val="14"/>
  </w:num>
  <w:num w:numId="7">
    <w:abstractNumId w:val="22"/>
  </w:num>
  <w:num w:numId="8">
    <w:abstractNumId w:val="0"/>
  </w:num>
  <w:num w:numId="9">
    <w:abstractNumId w:val="12"/>
  </w:num>
  <w:num w:numId="10">
    <w:abstractNumId w:val="25"/>
  </w:num>
  <w:num w:numId="11">
    <w:abstractNumId w:val="2"/>
  </w:num>
  <w:num w:numId="12">
    <w:abstractNumId w:val="7"/>
  </w:num>
  <w:num w:numId="13">
    <w:abstractNumId w:val="6"/>
  </w:num>
  <w:num w:numId="14">
    <w:abstractNumId w:val="18"/>
  </w:num>
  <w:num w:numId="15">
    <w:abstractNumId w:val="26"/>
  </w:num>
  <w:num w:numId="16">
    <w:abstractNumId w:val="11"/>
  </w:num>
  <w:num w:numId="17">
    <w:abstractNumId w:val="5"/>
  </w:num>
  <w:num w:numId="18">
    <w:abstractNumId w:val="1"/>
  </w:num>
  <w:num w:numId="19">
    <w:abstractNumId w:val="9"/>
  </w:num>
  <w:num w:numId="20">
    <w:abstractNumId w:val="24"/>
  </w:num>
  <w:num w:numId="21">
    <w:abstractNumId w:val="4"/>
  </w:num>
  <w:num w:numId="22">
    <w:abstractNumId w:val="20"/>
  </w:num>
  <w:num w:numId="23">
    <w:abstractNumId w:val="19"/>
  </w:num>
  <w:num w:numId="24">
    <w:abstractNumId w:val="27"/>
  </w:num>
  <w:num w:numId="25">
    <w:abstractNumId w:val="23"/>
  </w:num>
  <w:num w:numId="26">
    <w:abstractNumId w:val="16"/>
  </w:num>
  <w:num w:numId="27">
    <w:abstractNumId w:val="1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12"/>
    <w:rsid w:val="000013B6"/>
    <w:rsid w:val="0001554C"/>
    <w:rsid w:val="0002362A"/>
    <w:rsid w:val="000253C1"/>
    <w:rsid w:val="0002588C"/>
    <w:rsid w:val="000270C8"/>
    <w:rsid w:val="000316D1"/>
    <w:rsid w:val="00035372"/>
    <w:rsid w:val="00041FB3"/>
    <w:rsid w:val="000432AC"/>
    <w:rsid w:val="00046DFB"/>
    <w:rsid w:val="00051309"/>
    <w:rsid w:val="000517E6"/>
    <w:rsid w:val="00053D52"/>
    <w:rsid w:val="00055E26"/>
    <w:rsid w:val="00061F64"/>
    <w:rsid w:val="0006618F"/>
    <w:rsid w:val="000732EF"/>
    <w:rsid w:val="00075F18"/>
    <w:rsid w:val="0007604E"/>
    <w:rsid w:val="00077088"/>
    <w:rsid w:val="00081EA2"/>
    <w:rsid w:val="00092F6A"/>
    <w:rsid w:val="000A000B"/>
    <w:rsid w:val="000A5B22"/>
    <w:rsid w:val="000A75E8"/>
    <w:rsid w:val="000B674F"/>
    <w:rsid w:val="000D3F84"/>
    <w:rsid w:val="00100AD2"/>
    <w:rsid w:val="00100F0C"/>
    <w:rsid w:val="001012AB"/>
    <w:rsid w:val="00110AC2"/>
    <w:rsid w:val="00111112"/>
    <w:rsid w:val="00112238"/>
    <w:rsid w:val="00113FA2"/>
    <w:rsid w:val="0013736E"/>
    <w:rsid w:val="001374BD"/>
    <w:rsid w:val="001516B5"/>
    <w:rsid w:val="00152144"/>
    <w:rsid w:val="00154A48"/>
    <w:rsid w:val="00161C4D"/>
    <w:rsid w:val="00161F57"/>
    <w:rsid w:val="0016434B"/>
    <w:rsid w:val="00165E4B"/>
    <w:rsid w:val="00170C81"/>
    <w:rsid w:val="001712A4"/>
    <w:rsid w:val="00171752"/>
    <w:rsid w:val="001731E1"/>
    <w:rsid w:val="0017621C"/>
    <w:rsid w:val="0017723C"/>
    <w:rsid w:val="00180662"/>
    <w:rsid w:val="0018082D"/>
    <w:rsid w:val="00192C72"/>
    <w:rsid w:val="00196A97"/>
    <w:rsid w:val="001A1963"/>
    <w:rsid w:val="001A5150"/>
    <w:rsid w:val="001B365A"/>
    <w:rsid w:val="001B53C4"/>
    <w:rsid w:val="001C4C25"/>
    <w:rsid w:val="001C6661"/>
    <w:rsid w:val="001D003D"/>
    <w:rsid w:val="001D2C2F"/>
    <w:rsid w:val="001D3420"/>
    <w:rsid w:val="001D494C"/>
    <w:rsid w:val="001D7577"/>
    <w:rsid w:val="001E1C82"/>
    <w:rsid w:val="001E4B3A"/>
    <w:rsid w:val="001E7A01"/>
    <w:rsid w:val="001F61A9"/>
    <w:rsid w:val="0021045A"/>
    <w:rsid w:val="00212DDC"/>
    <w:rsid w:val="002154EE"/>
    <w:rsid w:val="002167AF"/>
    <w:rsid w:val="002173E8"/>
    <w:rsid w:val="0022290B"/>
    <w:rsid w:val="002315FC"/>
    <w:rsid w:val="002357D9"/>
    <w:rsid w:val="0024002C"/>
    <w:rsid w:val="00242970"/>
    <w:rsid w:val="002433EF"/>
    <w:rsid w:val="00243597"/>
    <w:rsid w:val="002467B2"/>
    <w:rsid w:val="00255BF1"/>
    <w:rsid w:val="0025796A"/>
    <w:rsid w:val="002701D0"/>
    <w:rsid w:val="002803E9"/>
    <w:rsid w:val="00281B66"/>
    <w:rsid w:val="00281E19"/>
    <w:rsid w:val="002A2EFE"/>
    <w:rsid w:val="002B7B07"/>
    <w:rsid w:val="002C2E3D"/>
    <w:rsid w:val="002C7A65"/>
    <w:rsid w:val="002D06B3"/>
    <w:rsid w:val="002D08C1"/>
    <w:rsid w:val="002D125A"/>
    <w:rsid w:val="002D2E24"/>
    <w:rsid w:val="002D3D8D"/>
    <w:rsid w:val="002D5C84"/>
    <w:rsid w:val="002D6C42"/>
    <w:rsid w:val="002E4C79"/>
    <w:rsid w:val="002E5194"/>
    <w:rsid w:val="002F6A31"/>
    <w:rsid w:val="003051D0"/>
    <w:rsid w:val="003058C8"/>
    <w:rsid w:val="00317ED3"/>
    <w:rsid w:val="00321B46"/>
    <w:rsid w:val="00321C0E"/>
    <w:rsid w:val="0032228A"/>
    <w:rsid w:val="00323F22"/>
    <w:rsid w:val="00333BCA"/>
    <w:rsid w:val="0034171B"/>
    <w:rsid w:val="003418AB"/>
    <w:rsid w:val="003433EB"/>
    <w:rsid w:val="003458E9"/>
    <w:rsid w:val="00351DFC"/>
    <w:rsid w:val="00352084"/>
    <w:rsid w:val="00354868"/>
    <w:rsid w:val="00356B02"/>
    <w:rsid w:val="00362212"/>
    <w:rsid w:val="003627DA"/>
    <w:rsid w:val="003644F2"/>
    <w:rsid w:val="00367A92"/>
    <w:rsid w:val="003737E5"/>
    <w:rsid w:val="00375B5D"/>
    <w:rsid w:val="00381E68"/>
    <w:rsid w:val="00384D3A"/>
    <w:rsid w:val="00387FD9"/>
    <w:rsid w:val="0039396D"/>
    <w:rsid w:val="003A497B"/>
    <w:rsid w:val="003A657D"/>
    <w:rsid w:val="003B0F97"/>
    <w:rsid w:val="003C316D"/>
    <w:rsid w:val="003C3993"/>
    <w:rsid w:val="003C6B5A"/>
    <w:rsid w:val="003C6FCC"/>
    <w:rsid w:val="003C787C"/>
    <w:rsid w:val="003D0C60"/>
    <w:rsid w:val="003D12AB"/>
    <w:rsid w:val="003D1B32"/>
    <w:rsid w:val="003D490F"/>
    <w:rsid w:val="003E0C63"/>
    <w:rsid w:val="003E2613"/>
    <w:rsid w:val="003E3AFE"/>
    <w:rsid w:val="003F472D"/>
    <w:rsid w:val="004012DB"/>
    <w:rsid w:val="00402464"/>
    <w:rsid w:val="00407F11"/>
    <w:rsid w:val="00415FBC"/>
    <w:rsid w:val="0041764A"/>
    <w:rsid w:val="004247A4"/>
    <w:rsid w:val="004306F6"/>
    <w:rsid w:val="0043128B"/>
    <w:rsid w:val="004347CD"/>
    <w:rsid w:val="00435623"/>
    <w:rsid w:val="00443C5A"/>
    <w:rsid w:val="0044428A"/>
    <w:rsid w:val="004562C9"/>
    <w:rsid w:val="0045684E"/>
    <w:rsid w:val="0046444C"/>
    <w:rsid w:val="0046621B"/>
    <w:rsid w:val="00482AF3"/>
    <w:rsid w:val="00485B23"/>
    <w:rsid w:val="00497F86"/>
    <w:rsid w:val="004A43E0"/>
    <w:rsid w:val="004A6633"/>
    <w:rsid w:val="004B229E"/>
    <w:rsid w:val="004B31C9"/>
    <w:rsid w:val="004B4F9A"/>
    <w:rsid w:val="004C08A6"/>
    <w:rsid w:val="004C16DF"/>
    <w:rsid w:val="004D4F51"/>
    <w:rsid w:val="004D54D5"/>
    <w:rsid w:val="004E0230"/>
    <w:rsid w:val="004F2EBE"/>
    <w:rsid w:val="004F36AE"/>
    <w:rsid w:val="004F3D9D"/>
    <w:rsid w:val="004F632F"/>
    <w:rsid w:val="00500236"/>
    <w:rsid w:val="00504809"/>
    <w:rsid w:val="00507982"/>
    <w:rsid w:val="00507EE2"/>
    <w:rsid w:val="005105FA"/>
    <w:rsid w:val="005173E5"/>
    <w:rsid w:val="0052095A"/>
    <w:rsid w:val="00520E96"/>
    <w:rsid w:val="00521D65"/>
    <w:rsid w:val="00521FF3"/>
    <w:rsid w:val="00526C73"/>
    <w:rsid w:val="005305CA"/>
    <w:rsid w:val="00533413"/>
    <w:rsid w:val="00536849"/>
    <w:rsid w:val="0054109B"/>
    <w:rsid w:val="00544DEA"/>
    <w:rsid w:val="005475CD"/>
    <w:rsid w:val="00547B95"/>
    <w:rsid w:val="00563F69"/>
    <w:rsid w:val="005665B7"/>
    <w:rsid w:val="00566C0C"/>
    <w:rsid w:val="00571201"/>
    <w:rsid w:val="00572881"/>
    <w:rsid w:val="00577698"/>
    <w:rsid w:val="005823CF"/>
    <w:rsid w:val="00584907"/>
    <w:rsid w:val="00584DAF"/>
    <w:rsid w:val="00590093"/>
    <w:rsid w:val="0059198B"/>
    <w:rsid w:val="00592200"/>
    <w:rsid w:val="00597AD2"/>
    <w:rsid w:val="005A0A32"/>
    <w:rsid w:val="005B03CC"/>
    <w:rsid w:val="005C4B46"/>
    <w:rsid w:val="005C51EB"/>
    <w:rsid w:val="005C605F"/>
    <w:rsid w:val="005D0E77"/>
    <w:rsid w:val="005E1E9B"/>
    <w:rsid w:val="005E1F72"/>
    <w:rsid w:val="005E62CB"/>
    <w:rsid w:val="005F4C11"/>
    <w:rsid w:val="00600E47"/>
    <w:rsid w:val="00602A5D"/>
    <w:rsid w:val="00614343"/>
    <w:rsid w:val="006213A0"/>
    <w:rsid w:val="00622879"/>
    <w:rsid w:val="00625218"/>
    <w:rsid w:val="00625A00"/>
    <w:rsid w:val="00631EFF"/>
    <w:rsid w:val="00632E1A"/>
    <w:rsid w:val="00637459"/>
    <w:rsid w:val="00641DA8"/>
    <w:rsid w:val="00642854"/>
    <w:rsid w:val="006512E4"/>
    <w:rsid w:val="00654436"/>
    <w:rsid w:val="006560AD"/>
    <w:rsid w:val="00656DC5"/>
    <w:rsid w:val="006617DE"/>
    <w:rsid w:val="00661E88"/>
    <w:rsid w:val="006641A9"/>
    <w:rsid w:val="00671252"/>
    <w:rsid w:val="0067211B"/>
    <w:rsid w:val="006723D4"/>
    <w:rsid w:val="0068066B"/>
    <w:rsid w:val="00690FD9"/>
    <w:rsid w:val="00692AF7"/>
    <w:rsid w:val="00694DBD"/>
    <w:rsid w:val="00695654"/>
    <w:rsid w:val="00697F70"/>
    <w:rsid w:val="006A3393"/>
    <w:rsid w:val="006A3B92"/>
    <w:rsid w:val="006B3159"/>
    <w:rsid w:val="006C067F"/>
    <w:rsid w:val="006C1F83"/>
    <w:rsid w:val="006C3630"/>
    <w:rsid w:val="006C6781"/>
    <w:rsid w:val="006C7A59"/>
    <w:rsid w:val="006D1F16"/>
    <w:rsid w:val="006D3B62"/>
    <w:rsid w:val="006D71A5"/>
    <w:rsid w:val="006D759C"/>
    <w:rsid w:val="006E23C7"/>
    <w:rsid w:val="006F511D"/>
    <w:rsid w:val="006F5278"/>
    <w:rsid w:val="006F52D5"/>
    <w:rsid w:val="00703288"/>
    <w:rsid w:val="00713604"/>
    <w:rsid w:val="007168F3"/>
    <w:rsid w:val="00720A04"/>
    <w:rsid w:val="00727616"/>
    <w:rsid w:val="00742C76"/>
    <w:rsid w:val="00745F9F"/>
    <w:rsid w:val="0074621D"/>
    <w:rsid w:val="00746598"/>
    <w:rsid w:val="00746ED5"/>
    <w:rsid w:val="00747370"/>
    <w:rsid w:val="00751D6C"/>
    <w:rsid w:val="00760BCB"/>
    <w:rsid w:val="00774F83"/>
    <w:rsid w:val="0078020D"/>
    <w:rsid w:val="007815FA"/>
    <w:rsid w:val="0078167C"/>
    <w:rsid w:val="00783862"/>
    <w:rsid w:val="00795089"/>
    <w:rsid w:val="007A2928"/>
    <w:rsid w:val="007A306D"/>
    <w:rsid w:val="007A3514"/>
    <w:rsid w:val="007A62E9"/>
    <w:rsid w:val="007C0DC4"/>
    <w:rsid w:val="007C63E9"/>
    <w:rsid w:val="007D16E5"/>
    <w:rsid w:val="007D4251"/>
    <w:rsid w:val="007D4DBB"/>
    <w:rsid w:val="007D5A6B"/>
    <w:rsid w:val="007E4293"/>
    <w:rsid w:val="007E7315"/>
    <w:rsid w:val="007F4340"/>
    <w:rsid w:val="007F51E5"/>
    <w:rsid w:val="00801332"/>
    <w:rsid w:val="00803114"/>
    <w:rsid w:val="00803E1A"/>
    <w:rsid w:val="00804C2F"/>
    <w:rsid w:val="008109E8"/>
    <w:rsid w:val="008122F0"/>
    <w:rsid w:val="00816018"/>
    <w:rsid w:val="00816A81"/>
    <w:rsid w:val="008200DA"/>
    <w:rsid w:val="00822E8C"/>
    <w:rsid w:val="0082530A"/>
    <w:rsid w:val="008272C6"/>
    <w:rsid w:val="00831EB3"/>
    <w:rsid w:val="008343F4"/>
    <w:rsid w:val="008406CB"/>
    <w:rsid w:val="00842FB6"/>
    <w:rsid w:val="0084366E"/>
    <w:rsid w:val="0084686D"/>
    <w:rsid w:val="00857D6F"/>
    <w:rsid w:val="00867140"/>
    <w:rsid w:val="00874B00"/>
    <w:rsid w:val="00882199"/>
    <w:rsid w:val="008828B0"/>
    <w:rsid w:val="00884B35"/>
    <w:rsid w:val="00885A83"/>
    <w:rsid w:val="00885C6D"/>
    <w:rsid w:val="008926D8"/>
    <w:rsid w:val="00896EFD"/>
    <w:rsid w:val="008B039A"/>
    <w:rsid w:val="008B40D2"/>
    <w:rsid w:val="008B6DB1"/>
    <w:rsid w:val="008C12E9"/>
    <w:rsid w:val="008C4527"/>
    <w:rsid w:val="008C52C5"/>
    <w:rsid w:val="008C746D"/>
    <w:rsid w:val="008D2E03"/>
    <w:rsid w:val="008E1CEF"/>
    <w:rsid w:val="008E41F7"/>
    <w:rsid w:val="0091444E"/>
    <w:rsid w:val="00914FFB"/>
    <w:rsid w:val="00917455"/>
    <w:rsid w:val="00923B28"/>
    <w:rsid w:val="0092578F"/>
    <w:rsid w:val="009259A4"/>
    <w:rsid w:val="00927203"/>
    <w:rsid w:val="00927CF4"/>
    <w:rsid w:val="00933C0F"/>
    <w:rsid w:val="00935692"/>
    <w:rsid w:val="00942C0B"/>
    <w:rsid w:val="0094517E"/>
    <w:rsid w:val="00952B2F"/>
    <w:rsid w:val="00972AFE"/>
    <w:rsid w:val="00976092"/>
    <w:rsid w:val="009806DB"/>
    <w:rsid w:val="00987DC8"/>
    <w:rsid w:val="00991958"/>
    <w:rsid w:val="00992058"/>
    <w:rsid w:val="009939AD"/>
    <w:rsid w:val="00996EAE"/>
    <w:rsid w:val="009A408A"/>
    <w:rsid w:val="009B0848"/>
    <w:rsid w:val="009B1D7B"/>
    <w:rsid w:val="009B4433"/>
    <w:rsid w:val="009B5639"/>
    <w:rsid w:val="009C20E0"/>
    <w:rsid w:val="009C3568"/>
    <w:rsid w:val="009C63C5"/>
    <w:rsid w:val="009D06B4"/>
    <w:rsid w:val="009E2DBD"/>
    <w:rsid w:val="009E71E1"/>
    <w:rsid w:val="009E7FDF"/>
    <w:rsid w:val="009F01BF"/>
    <w:rsid w:val="009F2BED"/>
    <w:rsid w:val="009F62E3"/>
    <w:rsid w:val="00A022D0"/>
    <w:rsid w:val="00A03465"/>
    <w:rsid w:val="00A0356A"/>
    <w:rsid w:val="00A06031"/>
    <w:rsid w:val="00A07A6E"/>
    <w:rsid w:val="00A12F42"/>
    <w:rsid w:val="00A1615A"/>
    <w:rsid w:val="00A161A0"/>
    <w:rsid w:val="00A20B30"/>
    <w:rsid w:val="00A320B7"/>
    <w:rsid w:val="00A4232B"/>
    <w:rsid w:val="00A439F8"/>
    <w:rsid w:val="00A45698"/>
    <w:rsid w:val="00A53A54"/>
    <w:rsid w:val="00A635BE"/>
    <w:rsid w:val="00A73F46"/>
    <w:rsid w:val="00A76448"/>
    <w:rsid w:val="00A83311"/>
    <w:rsid w:val="00A8780E"/>
    <w:rsid w:val="00A87857"/>
    <w:rsid w:val="00A958B8"/>
    <w:rsid w:val="00A96DF7"/>
    <w:rsid w:val="00AA0709"/>
    <w:rsid w:val="00AA35A6"/>
    <w:rsid w:val="00AB264F"/>
    <w:rsid w:val="00AB3F1D"/>
    <w:rsid w:val="00AC2E94"/>
    <w:rsid w:val="00AC5BB1"/>
    <w:rsid w:val="00AC694B"/>
    <w:rsid w:val="00AD1CCC"/>
    <w:rsid w:val="00AD54B1"/>
    <w:rsid w:val="00AD7D1A"/>
    <w:rsid w:val="00AE0E23"/>
    <w:rsid w:val="00AE58EC"/>
    <w:rsid w:val="00AE7039"/>
    <w:rsid w:val="00AF257A"/>
    <w:rsid w:val="00AF5378"/>
    <w:rsid w:val="00B04149"/>
    <w:rsid w:val="00B05742"/>
    <w:rsid w:val="00B071BD"/>
    <w:rsid w:val="00B07AAB"/>
    <w:rsid w:val="00B12CB6"/>
    <w:rsid w:val="00B141E8"/>
    <w:rsid w:val="00B355B4"/>
    <w:rsid w:val="00B40430"/>
    <w:rsid w:val="00B414BF"/>
    <w:rsid w:val="00B429F0"/>
    <w:rsid w:val="00B47E40"/>
    <w:rsid w:val="00B50C76"/>
    <w:rsid w:val="00B5220E"/>
    <w:rsid w:val="00B536CA"/>
    <w:rsid w:val="00B554CF"/>
    <w:rsid w:val="00B645D1"/>
    <w:rsid w:val="00B7443F"/>
    <w:rsid w:val="00B74CE7"/>
    <w:rsid w:val="00B824DA"/>
    <w:rsid w:val="00B832F7"/>
    <w:rsid w:val="00B91251"/>
    <w:rsid w:val="00BA04BB"/>
    <w:rsid w:val="00BA1C40"/>
    <w:rsid w:val="00BA209D"/>
    <w:rsid w:val="00BA58EB"/>
    <w:rsid w:val="00BB0A50"/>
    <w:rsid w:val="00BB5D6A"/>
    <w:rsid w:val="00BB6969"/>
    <w:rsid w:val="00BC41D9"/>
    <w:rsid w:val="00BC5CBE"/>
    <w:rsid w:val="00BC7988"/>
    <w:rsid w:val="00BD1241"/>
    <w:rsid w:val="00BE6B72"/>
    <w:rsid w:val="00BE7375"/>
    <w:rsid w:val="00BF788B"/>
    <w:rsid w:val="00C01766"/>
    <w:rsid w:val="00C0269A"/>
    <w:rsid w:val="00C03C24"/>
    <w:rsid w:val="00C175EA"/>
    <w:rsid w:val="00C2512B"/>
    <w:rsid w:val="00C26282"/>
    <w:rsid w:val="00C26F6B"/>
    <w:rsid w:val="00C27C7F"/>
    <w:rsid w:val="00C34457"/>
    <w:rsid w:val="00C358A4"/>
    <w:rsid w:val="00C4086F"/>
    <w:rsid w:val="00C40F2A"/>
    <w:rsid w:val="00C4499E"/>
    <w:rsid w:val="00C52300"/>
    <w:rsid w:val="00C54096"/>
    <w:rsid w:val="00C56E28"/>
    <w:rsid w:val="00C57AD1"/>
    <w:rsid w:val="00C6358A"/>
    <w:rsid w:val="00C753C0"/>
    <w:rsid w:val="00C8378A"/>
    <w:rsid w:val="00C87936"/>
    <w:rsid w:val="00C936DC"/>
    <w:rsid w:val="00C946EB"/>
    <w:rsid w:val="00CA0210"/>
    <w:rsid w:val="00CA1C8B"/>
    <w:rsid w:val="00CA478A"/>
    <w:rsid w:val="00CA6EA9"/>
    <w:rsid w:val="00CB082E"/>
    <w:rsid w:val="00CC04B8"/>
    <w:rsid w:val="00CC4C4C"/>
    <w:rsid w:val="00CD295B"/>
    <w:rsid w:val="00CE5D1D"/>
    <w:rsid w:val="00CF1A59"/>
    <w:rsid w:val="00CF3511"/>
    <w:rsid w:val="00CF5422"/>
    <w:rsid w:val="00CF5C9D"/>
    <w:rsid w:val="00CF7095"/>
    <w:rsid w:val="00CF70F0"/>
    <w:rsid w:val="00CF729D"/>
    <w:rsid w:val="00D1402B"/>
    <w:rsid w:val="00D21D29"/>
    <w:rsid w:val="00D2404F"/>
    <w:rsid w:val="00D33F51"/>
    <w:rsid w:val="00D367FA"/>
    <w:rsid w:val="00D42E43"/>
    <w:rsid w:val="00D51115"/>
    <w:rsid w:val="00D5617D"/>
    <w:rsid w:val="00D731B5"/>
    <w:rsid w:val="00D74A20"/>
    <w:rsid w:val="00DA0BEB"/>
    <w:rsid w:val="00DA33E5"/>
    <w:rsid w:val="00DA39E8"/>
    <w:rsid w:val="00DA514E"/>
    <w:rsid w:val="00DA7CD5"/>
    <w:rsid w:val="00DB3A7E"/>
    <w:rsid w:val="00DC0197"/>
    <w:rsid w:val="00DC0717"/>
    <w:rsid w:val="00DC0FF5"/>
    <w:rsid w:val="00DC49ED"/>
    <w:rsid w:val="00DC64A2"/>
    <w:rsid w:val="00DE0D15"/>
    <w:rsid w:val="00DE0F27"/>
    <w:rsid w:val="00DE62E5"/>
    <w:rsid w:val="00DE7DA2"/>
    <w:rsid w:val="00E00076"/>
    <w:rsid w:val="00E011F5"/>
    <w:rsid w:val="00E051D4"/>
    <w:rsid w:val="00E12A26"/>
    <w:rsid w:val="00E158AE"/>
    <w:rsid w:val="00E23A4D"/>
    <w:rsid w:val="00E24D86"/>
    <w:rsid w:val="00E33FC1"/>
    <w:rsid w:val="00E43036"/>
    <w:rsid w:val="00E43347"/>
    <w:rsid w:val="00E448C1"/>
    <w:rsid w:val="00E458D3"/>
    <w:rsid w:val="00E51F7F"/>
    <w:rsid w:val="00E52AEE"/>
    <w:rsid w:val="00E5462C"/>
    <w:rsid w:val="00E62EDF"/>
    <w:rsid w:val="00E71ECB"/>
    <w:rsid w:val="00E72C7B"/>
    <w:rsid w:val="00E7433F"/>
    <w:rsid w:val="00E74B03"/>
    <w:rsid w:val="00E80244"/>
    <w:rsid w:val="00E865FE"/>
    <w:rsid w:val="00EB248F"/>
    <w:rsid w:val="00EB32C4"/>
    <w:rsid w:val="00EB53E1"/>
    <w:rsid w:val="00EC083B"/>
    <w:rsid w:val="00EC1333"/>
    <w:rsid w:val="00EC584D"/>
    <w:rsid w:val="00EC6738"/>
    <w:rsid w:val="00EC6C2B"/>
    <w:rsid w:val="00EC6D6F"/>
    <w:rsid w:val="00ED0F86"/>
    <w:rsid w:val="00ED2213"/>
    <w:rsid w:val="00ED279E"/>
    <w:rsid w:val="00ED5AF6"/>
    <w:rsid w:val="00EE23D0"/>
    <w:rsid w:val="00EE3ADB"/>
    <w:rsid w:val="00EE7373"/>
    <w:rsid w:val="00EE7F2C"/>
    <w:rsid w:val="00EF5591"/>
    <w:rsid w:val="00EF7F15"/>
    <w:rsid w:val="00F0548C"/>
    <w:rsid w:val="00F10318"/>
    <w:rsid w:val="00F2028F"/>
    <w:rsid w:val="00F21534"/>
    <w:rsid w:val="00F30547"/>
    <w:rsid w:val="00F3102C"/>
    <w:rsid w:val="00F360CE"/>
    <w:rsid w:val="00F370D6"/>
    <w:rsid w:val="00F40328"/>
    <w:rsid w:val="00F4154B"/>
    <w:rsid w:val="00F42C45"/>
    <w:rsid w:val="00F43F12"/>
    <w:rsid w:val="00F4609D"/>
    <w:rsid w:val="00F509F9"/>
    <w:rsid w:val="00F545E7"/>
    <w:rsid w:val="00F56BDF"/>
    <w:rsid w:val="00F56F04"/>
    <w:rsid w:val="00F64AB2"/>
    <w:rsid w:val="00F72E6C"/>
    <w:rsid w:val="00F74717"/>
    <w:rsid w:val="00F839AB"/>
    <w:rsid w:val="00F91755"/>
    <w:rsid w:val="00FB0A69"/>
    <w:rsid w:val="00FB229B"/>
    <w:rsid w:val="00FB3509"/>
    <w:rsid w:val="00FB607E"/>
    <w:rsid w:val="00FB6DE9"/>
    <w:rsid w:val="00FC1AE4"/>
    <w:rsid w:val="00FC1E5D"/>
    <w:rsid w:val="00FC676A"/>
    <w:rsid w:val="00FD4099"/>
    <w:rsid w:val="00FD4DCD"/>
    <w:rsid w:val="00FD7ACF"/>
    <w:rsid w:val="00FD7E7C"/>
    <w:rsid w:val="00FE499C"/>
    <w:rsid w:val="00FF229E"/>
    <w:rsid w:val="00FF490D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1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1E7A0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7F5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link w:val="ZaglavljeChar"/>
    <w:uiPriority w:val="99"/>
    <w:rsid w:val="0052095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2095A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52095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095A"/>
    <w:rPr>
      <w:sz w:val="24"/>
      <w:szCs w:val="24"/>
    </w:rPr>
  </w:style>
  <w:style w:type="paragraph" w:styleId="StandardWeb">
    <w:name w:val="Normal (Web)"/>
    <w:basedOn w:val="Normal"/>
    <w:uiPriority w:val="99"/>
    <w:unhideWhenUsed/>
    <w:rsid w:val="009E71E1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842FB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E011F5"/>
    <w:rPr>
      <w:b/>
      <w:bCs/>
    </w:rPr>
  </w:style>
  <w:style w:type="paragraph" w:customStyle="1" w:styleId="Normal2">
    <w:name w:val="Normal2"/>
    <w:basedOn w:val="Normal"/>
    <w:rsid w:val="0094517E"/>
    <w:pPr>
      <w:spacing w:line="360" w:lineRule="auto"/>
      <w:jc w:val="both"/>
    </w:pPr>
    <w:rPr>
      <w:szCs w:val="20"/>
    </w:rPr>
  </w:style>
  <w:style w:type="paragraph" w:styleId="Tijeloteksta3">
    <w:name w:val="Body Text 3"/>
    <w:basedOn w:val="Normal"/>
    <w:link w:val="Tijeloteksta3Char"/>
    <w:rsid w:val="0094517E"/>
    <w:pPr>
      <w:jc w:val="both"/>
    </w:pPr>
    <w:rPr>
      <w:b/>
      <w:szCs w:val="20"/>
    </w:rPr>
  </w:style>
  <w:style w:type="character" w:customStyle="1" w:styleId="Tijeloteksta3Char">
    <w:name w:val="Tijelo teksta 3 Char"/>
    <w:basedOn w:val="Zadanifontodlomka"/>
    <w:link w:val="Tijeloteksta3"/>
    <w:rsid w:val="0094517E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1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1E7A0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7F5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link w:val="ZaglavljeChar"/>
    <w:uiPriority w:val="99"/>
    <w:rsid w:val="0052095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2095A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52095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095A"/>
    <w:rPr>
      <w:sz w:val="24"/>
      <w:szCs w:val="24"/>
    </w:rPr>
  </w:style>
  <w:style w:type="paragraph" w:styleId="StandardWeb">
    <w:name w:val="Normal (Web)"/>
    <w:basedOn w:val="Normal"/>
    <w:uiPriority w:val="99"/>
    <w:unhideWhenUsed/>
    <w:rsid w:val="009E71E1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842FB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E011F5"/>
    <w:rPr>
      <w:b/>
      <w:bCs/>
    </w:rPr>
  </w:style>
  <w:style w:type="paragraph" w:customStyle="1" w:styleId="Normal2">
    <w:name w:val="Normal2"/>
    <w:basedOn w:val="Normal"/>
    <w:rsid w:val="0094517E"/>
    <w:pPr>
      <w:spacing w:line="360" w:lineRule="auto"/>
      <w:jc w:val="both"/>
    </w:pPr>
    <w:rPr>
      <w:szCs w:val="20"/>
    </w:rPr>
  </w:style>
  <w:style w:type="paragraph" w:styleId="Tijeloteksta3">
    <w:name w:val="Body Text 3"/>
    <w:basedOn w:val="Normal"/>
    <w:link w:val="Tijeloteksta3Char"/>
    <w:rsid w:val="0094517E"/>
    <w:pPr>
      <w:jc w:val="both"/>
    </w:pPr>
    <w:rPr>
      <w:b/>
      <w:szCs w:val="20"/>
    </w:rPr>
  </w:style>
  <w:style w:type="character" w:customStyle="1" w:styleId="Tijeloteksta3Char">
    <w:name w:val="Tijelo teksta 3 Char"/>
    <w:basedOn w:val="Zadanifontodlomka"/>
    <w:link w:val="Tijeloteksta3"/>
    <w:rsid w:val="0094517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D4BEB-A8A1-4726-9D47-40789EE2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1411</Words>
  <Characters>8046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Ivanec</Company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Grad Ivanec</cp:lastModifiedBy>
  <cp:revision>2</cp:revision>
  <cp:lastPrinted>2015-11-13T07:48:00Z</cp:lastPrinted>
  <dcterms:created xsi:type="dcterms:W3CDTF">2015-11-13T14:18:00Z</dcterms:created>
  <dcterms:modified xsi:type="dcterms:W3CDTF">2015-11-13T14:18:00Z</dcterms:modified>
</cp:coreProperties>
</file>