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9177"/>
      </w:tblGrid>
      <w:tr w:rsidR="00B84F9E" w:rsidRPr="001E259D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1792F2BE" w:rsidR="005C49D4" w:rsidRPr="001E259D" w:rsidRDefault="00B84F9E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POZIV JAVNOSTI ZA DOSTAVU MIŠLJENJA, PRIMJEDBI I PRIJEDLOGA O</w:t>
            </w:r>
            <w:r w:rsidR="00D3487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38" w:rsidRPr="00BC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NACRTU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5D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86478" w:rsidRPr="001E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D2B60E" w14:textId="33478AFD" w:rsidR="00861539" w:rsidRDefault="00200763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 O JAVNIM PRIZNANJIMA GRADA IVANCA</w:t>
            </w:r>
          </w:p>
          <w:p w14:paraId="1CC65144" w14:textId="372D2AE0" w:rsidR="00B84F9E" w:rsidRPr="001E259D" w:rsidRDefault="00982CBC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PUTEM INTERNETSKOG SAVJETOVANJA SA ZAINTERESIRANOM JAVNOŠĆU</w:t>
            </w:r>
          </w:p>
        </w:tc>
      </w:tr>
      <w:tr w:rsidR="00B84F9E" w:rsidRPr="001E259D" w14:paraId="1BA164A2" w14:textId="77777777" w:rsidTr="00E837F4">
        <w:trPr>
          <w:trHeight w:val="1266"/>
          <w:jc w:val="center"/>
        </w:trPr>
        <w:tc>
          <w:tcPr>
            <w:tcW w:w="3397" w:type="dxa"/>
            <w:vAlign w:val="center"/>
          </w:tcPr>
          <w:p w14:paraId="49D03719" w14:textId="77777777" w:rsidR="00B84F9E" w:rsidRPr="001E259D" w:rsidRDefault="00B84F9E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177" w:type="dxa"/>
            <w:vAlign w:val="center"/>
          </w:tcPr>
          <w:p w14:paraId="6D1DEA21" w14:textId="487DA44D" w:rsidR="00E837F4" w:rsidRPr="00CE4387" w:rsidRDefault="00E837F4" w:rsidP="00E837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387">
              <w:rPr>
                <w:rFonts w:ascii="Times New Roman" w:hAnsi="Times New Roman"/>
                <w:sz w:val="24"/>
                <w:szCs w:val="24"/>
              </w:rPr>
              <w:t>Odredbom članka 11. stavak 1. Zakona o lokalnoj i područnoj (regionalnoj) samoupravi (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>Narodne novine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 xml:space="preserve"> broj 33/01, 60/01 – vjerodostojno tumačenje, 129/05,  109/07, 125/08, 36/09, 150/11, 144/12, 19/13 – pročišćeni tekst, 137/15, 123/17, 98/19 i 144/20; dalje u tekstu: Zakon), propisano je da predstavničko tijelo općine, grada i županije može pojedinu osobu koja je zaslužna za općinu, grad, odnosno za županiju proglasiti počasnim građaninom. Stavkom 3. istoga članka Zakona propisano je da predstavničko tijelo može utvrditi i druga javna priznanja.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 xml:space="preserve">Člancima od 7. do 9. Statuta Grada Ivanca („Službeni vjesnik Varaždinske županije” br. 21/09, 12/13, 23/13-pročišćeni tekst, 13/18, 8/20, 15/21 i 38/21–pročišćeni tekst), uređeno je poglavlje o javnim priznanjima Grada Ivanca, time da je odredbom članka 9. stavak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Statuta 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>propisano da vrste javnih priznanja, uvjete za njihovo dodjeljivanje, njihov izgled i oblik, mjerila i postupak dodjele te tijela koja provode postupak i vrše dodjelu priznanja, kao i proglašenje pojedine osobe počasnim građaninom, uređuj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 xml:space="preserve"> posebnom odlukom Gradsko vijeć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Člankom 35. stavak 1. alineja 16. Statuta Grada Ivanca propisana je nadležnost Gradskog vijeća Grada Ivanca da donosi odluku o kriterijima, načinu i postupku za dodjelu javnih priznanja i dodjeljuje javna priznanja.</w:t>
            </w:r>
          </w:p>
          <w:p w14:paraId="4C6C72AF" w14:textId="77777777" w:rsidR="00E837F4" w:rsidRDefault="00E837F4" w:rsidP="00E837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547C8" w14:textId="19CC447F" w:rsidR="00E837F4" w:rsidRPr="00720484" w:rsidRDefault="00E837F4" w:rsidP="00E837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Trenutno važeću 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>Odluku o javnim priznanjima Grada Ivanca donijelo je Gradsko vijeće Grada Ivanca u travnju 2007. godine. Ova se odluka otad neznatno mijenjala 2008. i 2010. godine (usklađivanja sa Zakonom) te 2015. godine, kada je dopunjena odredbama o novim javnim priznanjima (Malom plaketom Grada Ivanca i Nagradom „Volonter godine“).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387">
              <w:rPr>
                <w:rFonts w:ascii="Times New Roman" w:hAnsi="Times New Roman"/>
                <w:sz w:val="24"/>
                <w:szCs w:val="24"/>
              </w:rPr>
              <w:t>Budući da se integralni tekst Odluke od 2007. godine u bitnome nije mijenjao, a da su u međuvremenu nastupile nove okolnosti u razvitku Grada Ivanca, ocijenjeno je poželjnim i opravdanim da se momenti koji su na bitan i jedinstven način obilježili povijest Ivanca , kao i oni koji su vezani uz njegov suvremeni pravac razvitka, na odgovarajući način verificiraju kroz nove nagrade koje bi se dodjeljivale dobitnicima javnih priznanja Grada Ivanca.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720484">
              <w:rPr>
                <w:rFonts w:ascii="Times New Roman" w:hAnsi="Times New Roman"/>
                <w:sz w:val="24"/>
                <w:szCs w:val="24"/>
              </w:rPr>
              <w:t>a nove nagrade uz javna priznanja Grada Ivanca predlažu se:</w:t>
            </w:r>
          </w:p>
          <w:p w14:paraId="4E3F890A" w14:textId="77777777" w:rsidR="00E837F4" w:rsidRPr="00720484" w:rsidRDefault="00E837F4" w:rsidP="00E837F4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0484">
              <w:rPr>
                <w:rFonts w:ascii="Times New Roman" w:hAnsi="Times New Roman"/>
                <w:sz w:val="24"/>
                <w:szCs w:val="24"/>
              </w:rPr>
              <w:t>Srebrna medalja s likom viteza ivanovca – ova nagrada dodjeljivala bi se samo uz najviša javna priznanja Grada Ivanca, a to su Počasni građanin i Grb Grada Ivanca</w:t>
            </w:r>
          </w:p>
          <w:p w14:paraId="7679261D" w14:textId="77777777" w:rsidR="00E837F4" w:rsidRPr="00720484" w:rsidRDefault="00E837F4" w:rsidP="00E837F4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0484">
              <w:rPr>
                <w:rFonts w:ascii="Times New Roman" w:hAnsi="Times New Roman"/>
                <w:sz w:val="24"/>
                <w:szCs w:val="24"/>
              </w:rPr>
              <w:lastRenderedPageBreak/>
              <w:t>Srebrna medalja s likom rudara – ova nagrada dodjeljivala bi se dobitnicima Plakete Grada Ivanca</w:t>
            </w:r>
          </w:p>
          <w:p w14:paraId="53DE8BAE" w14:textId="693DB11D" w:rsidR="00BC7838" w:rsidRPr="00E837F4" w:rsidRDefault="00E837F4" w:rsidP="00E837F4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0484">
              <w:rPr>
                <w:rFonts w:ascii="Times New Roman" w:hAnsi="Times New Roman"/>
                <w:sz w:val="24"/>
                <w:szCs w:val="24"/>
              </w:rPr>
              <w:t>Medalja s likom rudara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484">
              <w:rPr>
                <w:rFonts w:ascii="Times New Roman" w:hAnsi="Times New Roman"/>
                <w:sz w:val="24"/>
                <w:szCs w:val="24"/>
              </w:rPr>
              <w:t>– ova nagrada dodjeljivala bi se dobitnicima Zahvalnica Grada Ivanca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F9E" w:rsidRPr="001E259D" w14:paraId="60F27BC7" w14:textId="77777777" w:rsidTr="005920C5">
        <w:trPr>
          <w:trHeight w:val="1101"/>
          <w:jc w:val="center"/>
        </w:trPr>
        <w:tc>
          <w:tcPr>
            <w:tcW w:w="3397" w:type="dxa"/>
            <w:vAlign w:val="center"/>
          </w:tcPr>
          <w:p w14:paraId="199E6D33" w14:textId="77777777" w:rsidR="00B84F9E" w:rsidRPr="001E259D" w:rsidRDefault="00B84F9E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PROVOĐENJA SAVJETOVANJA</w:t>
            </w:r>
          </w:p>
        </w:tc>
        <w:tc>
          <w:tcPr>
            <w:tcW w:w="9177" w:type="dxa"/>
            <w:vAlign w:val="center"/>
          </w:tcPr>
          <w:p w14:paraId="6DD008E7" w14:textId="591ACA60" w:rsidR="00B84F9E" w:rsidRPr="001E259D" w:rsidRDefault="00E86478" w:rsidP="00E837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Cilj provođenja savjetovanja sa zainteresiranom javnošću je upoznavanje javnosti s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763">
              <w:rPr>
                <w:rFonts w:ascii="Times New Roman" w:hAnsi="Times New Roman" w:cs="Times New Roman"/>
                <w:sz w:val="24"/>
                <w:szCs w:val="24"/>
              </w:rPr>
              <w:t xml:space="preserve">Odluke o javnim priznanjima Grada Ivanca </w:t>
            </w:r>
            <w:r w:rsidR="00BB3239" w:rsidRPr="001E259D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  <w:r w:rsidR="001C756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1E259D" w14:paraId="5A62401D" w14:textId="77777777" w:rsidTr="003D70F6">
        <w:trPr>
          <w:trHeight w:val="1093"/>
          <w:jc w:val="center"/>
        </w:trPr>
        <w:tc>
          <w:tcPr>
            <w:tcW w:w="3397" w:type="dxa"/>
            <w:vAlign w:val="center"/>
          </w:tcPr>
          <w:p w14:paraId="518376DB" w14:textId="77777777" w:rsidR="00B84F9E" w:rsidRPr="001E259D" w:rsidRDefault="00B84F9E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177" w:type="dxa"/>
            <w:vAlign w:val="center"/>
          </w:tcPr>
          <w:p w14:paraId="3B73892C" w14:textId="5553B775" w:rsidR="00B84F9E" w:rsidRPr="001E259D" w:rsidRDefault="003A0B65" w:rsidP="00E837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7CD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200763">
              <w:rPr>
                <w:rFonts w:ascii="Times New Roman" w:hAnsi="Times New Roman" w:cs="Times New Roman"/>
                <w:sz w:val="24"/>
                <w:szCs w:val="24"/>
              </w:rPr>
              <w:t>06. ožujka</w:t>
            </w:r>
            <w:r w:rsidR="00E548E7">
              <w:rPr>
                <w:rFonts w:ascii="Times New Roman" w:hAnsi="Times New Roman" w:cs="Times New Roman"/>
                <w:sz w:val="24"/>
                <w:szCs w:val="24"/>
              </w:rPr>
              <w:t xml:space="preserve"> 2023. godine do </w:t>
            </w:r>
            <w:r w:rsidR="00320E47" w:rsidRPr="0032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763" w:rsidRPr="00320E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0E47" w:rsidRPr="00320E47">
              <w:rPr>
                <w:rFonts w:ascii="Times New Roman" w:hAnsi="Times New Roman" w:cs="Times New Roman"/>
                <w:sz w:val="24"/>
                <w:szCs w:val="24"/>
              </w:rPr>
              <w:t>ožujka</w:t>
            </w:r>
            <w:r w:rsidR="00E548E7" w:rsidRPr="0032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E7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120FE5" w:rsidRPr="001E259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</w:tr>
      <w:tr w:rsidR="005A7C10" w:rsidRPr="001E259D" w14:paraId="2A1F6683" w14:textId="77777777" w:rsidTr="003D70F6">
        <w:trPr>
          <w:trHeight w:val="1093"/>
          <w:jc w:val="center"/>
        </w:trPr>
        <w:tc>
          <w:tcPr>
            <w:tcW w:w="3397" w:type="dxa"/>
            <w:vAlign w:val="center"/>
          </w:tcPr>
          <w:p w14:paraId="52749AF9" w14:textId="6CAA158A" w:rsidR="005A7C10" w:rsidRPr="001E259D" w:rsidRDefault="005A7C10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OBRAZLOŽENJE </w:t>
            </w:r>
            <w:r w:rsidR="009664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KRAĆE</w:t>
            </w:r>
            <w:r w:rsidR="009664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4361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TRAJANJA SAVJETOVANJA</w:t>
            </w:r>
          </w:p>
        </w:tc>
        <w:tc>
          <w:tcPr>
            <w:tcW w:w="9177" w:type="dxa"/>
            <w:vAlign w:val="center"/>
          </w:tcPr>
          <w:p w14:paraId="5E6A2BCE" w14:textId="66CBEAA3" w:rsidR="005A7C10" w:rsidRPr="001B07CD" w:rsidRDefault="005A7C10" w:rsidP="007436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Odlukom o javnim priznanjima Grada Ivanca propisuje se dodjela javnih priznanja na svečanosti u povodu obilježavanja Dana grada Ivanca i blagdana sv. Ivana Krstitelja, 24. lipnja. Obzirom je temeljem predmetne Odluke potrebno imenovati </w:t>
            </w:r>
            <w:r w:rsidR="00A90735">
              <w:rPr>
                <w:rFonts w:ascii="Times New Roman" w:hAnsi="Times New Roman" w:cs="Times New Roman"/>
                <w:sz w:val="24"/>
                <w:szCs w:val="24"/>
              </w:rPr>
              <w:t xml:space="preserve">novo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Povjerenstvo za dodjelu javnih priznanja</w:t>
            </w:r>
            <w:r w:rsidR="00326B7A">
              <w:rPr>
                <w:rFonts w:ascii="Times New Roman" w:hAnsi="Times New Roman" w:cs="Times New Roman"/>
                <w:sz w:val="24"/>
                <w:szCs w:val="24"/>
              </w:rPr>
              <w:t>, da Povjerenstvo mora pravovremeno uputiti javni poziv za dostavu prijedloga za predlaganje kandidata, da</w:t>
            </w:r>
            <w:r w:rsidR="0074361C">
              <w:rPr>
                <w:rFonts w:ascii="Times New Roman" w:hAnsi="Times New Roman" w:cs="Times New Roman"/>
                <w:sz w:val="24"/>
                <w:szCs w:val="24"/>
              </w:rPr>
              <w:t xml:space="preserve"> se ovlaštenim predlagateljima mora omogućiti da se upoznaju s tekstom Javnog poziva i dati dovoljno vremena za izradu prijedloga, da Povjerenstvo mora održati sjednicu </w:t>
            </w:r>
            <w:r w:rsidR="00A90735">
              <w:rPr>
                <w:rFonts w:ascii="Times New Roman" w:hAnsi="Times New Roman" w:cs="Times New Roman"/>
                <w:sz w:val="24"/>
                <w:szCs w:val="24"/>
              </w:rPr>
              <w:t>na kojoj će</w:t>
            </w:r>
            <w:r w:rsidR="0074361C">
              <w:rPr>
                <w:rFonts w:ascii="Times New Roman" w:hAnsi="Times New Roman" w:cs="Times New Roman"/>
                <w:sz w:val="24"/>
                <w:szCs w:val="24"/>
              </w:rPr>
              <w:t xml:space="preserve"> razmotriti sve pristigle prijedlog</w:t>
            </w:r>
            <w:r w:rsidR="00A90735">
              <w:rPr>
                <w:rFonts w:ascii="Times New Roman" w:hAnsi="Times New Roman" w:cs="Times New Roman"/>
                <w:sz w:val="24"/>
                <w:szCs w:val="24"/>
              </w:rPr>
              <w:t xml:space="preserve">e, utvrditi prijedlog Odluke o dodjeli javnih priznanja te </w:t>
            </w:r>
            <w:r w:rsidR="00445343">
              <w:rPr>
                <w:rFonts w:ascii="Times New Roman" w:hAnsi="Times New Roman" w:cs="Times New Roman"/>
                <w:sz w:val="24"/>
                <w:szCs w:val="24"/>
              </w:rPr>
              <w:t xml:space="preserve">nakon </w:t>
            </w:r>
            <w:r w:rsidR="00A90735">
              <w:rPr>
                <w:rFonts w:ascii="Times New Roman" w:hAnsi="Times New Roman" w:cs="Times New Roman"/>
                <w:sz w:val="24"/>
                <w:szCs w:val="24"/>
              </w:rPr>
              <w:t xml:space="preserve">toga </w:t>
            </w:r>
            <w:r w:rsidR="0044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A">
              <w:rPr>
                <w:rFonts w:ascii="Times New Roman" w:hAnsi="Times New Roman" w:cs="Times New Roman"/>
                <w:sz w:val="24"/>
                <w:szCs w:val="24"/>
              </w:rPr>
              <w:t xml:space="preserve">Gradsko vijeće mora </w:t>
            </w:r>
            <w:r w:rsidR="00A90735">
              <w:rPr>
                <w:rFonts w:ascii="Times New Roman" w:hAnsi="Times New Roman" w:cs="Times New Roman"/>
                <w:sz w:val="24"/>
                <w:szCs w:val="24"/>
              </w:rPr>
              <w:t xml:space="preserve">predmetnu Odluku donijeti </w:t>
            </w:r>
            <w:r w:rsidR="0074361C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326B7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445343">
              <w:rPr>
                <w:rFonts w:ascii="Times New Roman" w:hAnsi="Times New Roman" w:cs="Times New Roman"/>
                <w:sz w:val="24"/>
                <w:szCs w:val="24"/>
              </w:rPr>
              <w:t xml:space="preserve"> sam postupak nabave i</w:t>
            </w:r>
            <w:r w:rsidR="00326B7A">
              <w:rPr>
                <w:rFonts w:ascii="Times New Roman" w:hAnsi="Times New Roman" w:cs="Times New Roman"/>
                <w:sz w:val="24"/>
                <w:szCs w:val="24"/>
              </w:rPr>
              <w:t xml:space="preserve"> izrad</w:t>
            </w:r>
            <w:r w:rsidR="00A907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6B7A">
              <w:rPr>
                <w:rFonts w:ascii="Times New Roman" w:hAnsi="Times New Roman" w:cs="Times New Roman"/>
                <w:sz w:val="24"/>
                <w:szCs w:val="24"/>
              </w:rPr>
              <w:t xml:space="preserve"> javnih priznanja </w:t>
            </w:r>
            <w:r w:rsidR="00A90735">
              <w:rPr>
                <w:rFonts w:ascii="Times New Roman" w:hAnsi="Times New Roman" w:cs="Times New Roman"/>
                <w:sz w:val="24"/>
                <w:szCs w:val="24"/>
              </w:rPr>
              <w:t>također traje</w:t>
            </w:r>
            <w:r w:rsidR="00445343">
              <w:rPr>
                <w:rFonts w:ascii="Times New Roman" w:hAnsi="Times New Roman" w:cs="Times New Roman"/>
                <w:sz w:val="24"/>
                <w:szCs w:val="24"/>
              </w:rPr>
              <w:t xml:space="preserve"> određeno vrijeme, u slučaju trajanja savjetovanja od 30 dana </w:t>
            </w:r>
            <w:r w:rsidR="00BB7FC8">
              <w:rPr>
                <w:rFonts w:ascii="Times New Roman" w:hAnsi="Times New Roman" w:cs="Times New Roman"/>
                <w:sz w:val="24"/>
                <w:szCs w:val="24"/>
              </w:rPr>
              <w:t xml:space="preserve"> bila bi dovedena u pitanje </w:t>
            </w:r>
            <w:r w:rsidR="0074361C">
              <w:rPr>
                <w:rFonts w:ascii="Times New Roman" w:hAnsi="Times New Roman" w:cs="Times New Roman"/>
                <w:sz w:val="24"/>
                <w:szCs w:val="24"/>
              </w:rPr>
              <w:t>provedb</w:t>
            </w:r>
            <w:r w:rsidR="00BB7F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361C">
              <w:rPr>
                <w:rFonts w:ascii="Times New Roman" w:hAnsi="Times New Roman" w:cs="Times New Roman"/>
                <w:sz w:val="24"/>
                <w:szCs w:val="24"/>
              </w:rPr>
              <w:t xml:space="preserve"> same Odluke o dodjeli javnih priznanja.</w:t>
            </w:r>
          </w:p>
        </w:tc>
      </w:tr>
      <w:tr w:rsidR="00B84F9E" w:rsidRPr="001E259D" w14:paraId="01CCFEDE" w14:textId="77777777" w:rsidTr="005920C5">
        <w:trPr>
          <w:trHeight w:val="1144"/>
          <w:jc w:val="center"/>
        </w:trPr>
        <w:tc>
          <w:tcPr>
            <w:tcW w:w="3397" w:type="dxa"/>
            <w:vAlign w:val="center"/>
          </w:tcPr>
          <w:p w14:paraId="06427E4B" w14:textId="77777777" w:rsidR="00B84F9E" w:rsidRPr="001E259D" w:rsidRDefault="00B84F9E" w:rsidP="00E837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177" w:type="dxa"/>
            <w:vAlign w:val="center"/>
          </w:tcPr>
          <w:p w14:paraId="3FF3A9FC" w14:textId="3BA8D6EF" w:rsidR="00B84F9E" w:rsidRPr="001E259D" w:rsidRDefault="00BB3239" w:rsidP="00E837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Pisane primjedbe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 w:rsidR="00BC78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259D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763">
              <w:rPr>
                <w:rFonts w:ascii="Times New Roman" w:hAnsi="Times New Roman" w:cs="Times New Roman"/>
                <w:sz w:val="24"/>
                <w:szCs w:val="24"/>
              </w:rPr>
              <w:t>Odluke o javnim priznanjima Grada Ivanca</w:t>
            </w:r>
            <w:r w:rsidR="00CB1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dostavljaju se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zadanom </w:t>
            </w:r>
            <w:r w:rsidR="0031447E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obrascu </w:t>
            </w:r>
            <w:r w:rsidR="00456CC3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(u prilogu) i to 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elektroničkom poštom na e-mail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0763">
              <w:rPr>
                <w:rFonts w:ascii="Times New Roman" w:hAnsi="Times New Roman" w:cs="Times New Roman"/>
                <w:sz w:val="24"/>
                <w:szCs w:val="24"/>
              </w:rPr>
              <w:t>ljiljana.risek</w:t>
            </w:r>
            <w:r w:rsidR="00AC4F8F" w:rsidRPr="001E259D">
              <w:rPr>
                <w:rFonts w:ascii="Times New Roman" w:hAnsi="Times New Roman" w:cs="Times New Roman"/>
                <w:sz w:val="24"/>
                <w:szCs w:val="24"/>
              </w:rPr>
              <w:t>@ivanec.hr</w:t>
            </w:r>
          </w:p>
        </w:tc>
      </w:tr>
      <w:tr w:rsidR="00B84F9E" w:rsidRPr="001E259D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49C03ECB" w:rsidR="00B84F9E" w:rsidRPr="001E259D" w:rsidRDefault="00BB3239" w:rsidP="00E837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Sukladno odredbama članka 11. Zakona o pravu na pristup informacija</w:t>
            </w:r>
            <w:r w:rsidR="00E402F8" w:rsidRPr="001E259D">
              <w:rPr>
                <w:rFonts w:ascii="Times New Roman" w:hAnsi="Times New Roman" w:cs="Times New Roman"/>
                <w:sz w:val="24"/>
                <w:szCs w:val="24"/>
              </w:rPr>
              <w:t>ma („Narodne novine“ broj 25/13, 85/15</w:t>
            </w:r>
            <w:r w:rsidR="008E517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B62644" w:rsidRPr="001E259D">
              <w:rPr>
                <w:rFonts w:ascii="Times New Roman" w:hAnsi="Times New Roman" w:cs="Times New Roman"/>
                <w:sz w:val="24"/>
                <w:szCs w:val="24"/>
              </w:rPr>
              <w:t>69/22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05E29675" w:rsidR="001B7812" w:rsidRDefault="001B7812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0B2C8AA" w14:textId="45C90A82" w:rsidR="005920C5" w:rsidRDefault="005920C5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9EA19C0" w14:textId="43FF905E" w:rsidR="005920C5" w:rsidRDefault="005920C5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E52465B" w14:textId="7561F396" w:rsidR="00AC0F4A" w:rsidRDefault="00AC0F4A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CABC39" w14:textId="01A3C4EE" w:rsidR="00AC0F4A" w:rsidRDefault="00AC0F4A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2C6995C" w14:textId="17F6090F" w:rsidR="00AC0F4A" w:rsidRDefault="00AC0F4A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4C650FC" w14:textId="571DBE82" w:rsidR="00AC0F4A" w:rsidRDefault="00AC0F4A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B22530D" w14:textId="77777777" w:rsidR="00AC0F4A" w:rsidRPr="001E259D" w:rsidRDefault="00AC0F4A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674047A" w14:textId="77777777" w:rsidR="001B7812" w:rsidRPr="001E259D" w:rsidRDefault="001B7812" w:rsidP="00E837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259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1E259D" w:rsidRDefault="002B351B" w:rsidP="00E837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7EC9AE7" w14:textId="77777777" w:rsidR="002B351B" w:rsidRPr="001E259D" w:rsidRDefault="002B351B" w:rsidP="00E837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9D">
        <w:rPr>
          <w:rFonts w:ascii="Times New Roman" w:hAnsi="Times New Roman" w:cs="Times New Roman"/>
          <w:b/>
          <w:sz w:val="24"/>
          <w:szCs w:val="24"/>
        </w:rPr>
        <w:t>OB</w:t>
      </w:r>
      <w:r w:rsidR="00EE28CC" w:rsidRPr="001E259D">
        <w:rPr>
          <w:rFonts w:ascii="Times New Roman" w:hAnsi="Times New Roman" w:cs="Times New Roman"/>
          <w:b/>
          <w:sz w:val="24"/>
          <w:szCs w:val="24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1E259D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4FBD877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6FB2199" w:rsidR="003F3A7F" w:rsidRPr="001E259D" w:rsidRDefault="003F3A7F" w:rsidP="00AC0F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Citirani dio </w:t>
            </w:r>
            <w:r w:rsidR="00B50D7A" w:rsidRPr="001E259D">
              <w:rPr>
                <w:rFonts w:ascii="Times New Roman" w:hAnsi="Times New Roman" w:cs="Times New Roman"/>
                <w:sz w:val="24"/>
                <w:szCs w:val="24"/>
              </w:rPr>
              <w:t xml:space="preserve">teksta (molimo obavezno točku </w:t>
            </w:r>
            <w:r w:rsidR="00200763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14:paraId="3427266B" w14:textId="77777777" w:rsidR="003F3A7F" w:rsidRPr="001E259D" w:rsidRDefault="003F3A7F" w:rsidP="00AC0F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1E259D" w:rsidRDefault="003F3A7F" w:rsidP="00AC0F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1E259D" w:rsidRDefault="003F3A7F" w:rsidP="00AC0F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Ostale napomene</w:t>
            </w:r>
          </w:p>
        </w:tc>
      </w:tr>
      <w:tr w:rsidR="003F3A7F" w:rsidRPr="001E259D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D8E488B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81E134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A9402A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0F4E8B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645C16EE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BE88E84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B02090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DE2082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9E414FB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E05CB22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4EAB0C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4C115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7F" w:rsidRPr="001E259D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FF8B272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42E28D0A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849995E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8D71BC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0F0D1" w14:textId="77777777" w:rsidR="003F3A7F" w:rsidRPr="001E259D" w:rsidRDefault="003F3A7F" w:rsidP="00E83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F86E" w14:textId="77777777" w:rsidR="002B351B" w:rsidRPr="001E259D" w:rsidRDefault="002B351B" w:rsidP="00E837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B351B" w:rsidRPr="001E259D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0C11"/>
    <w:multiLevelType w:val="hybridMultilevel"/>
    <w:tmpl w:val="3D983D9E"/>
    <w:lvl w:ilvl="0" w:tplc="12B8654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25874">
    <w:abstractNumId w:val="1"/>
  </w:num>
  <w:num w:numId="2" w16cid:durableId="38404807">
    <w:abstractNumId w:val="4"/>
  </w:num>
  <w:num w:numId="3" w16cid:durableId="2085641457">
    <w:abstractNumId w:val="0"/>
  </w:num>
  <w:num w:numId="4" w16cid:durableId="1334723292">
    <w:abstractNumId w:val="3"/>
  </w:num>
  <w:num w:numId="5" w16cid:durableId="170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12C77"/>
    <w:rsid w:val="00025550"/>
    <w:rsid w:val="000300DE"/>
    <w:rsid w:val="000C0D74"/>
    <w:rsid w:val="000F36E4"/>
    <w:rsid w:val="000F70A9"/>
    <w:rsid w:val="00101F24"/>
    <w:rsid w:val="00120FE5"/>
    <w:rsid w:val="001214D6"/>
    <w:rsid w:val="001274E3"/>
    <w:rsid w:val="001B07CD"/>
    <w:rsid w:val="001B7812"/>
    <w:rsid w:val="001C4878"/>
    <w:rsid w:val="001C756A"/>
    <w:rsid w:val="001E259D"/>
    <w:rsid w:val="00200763"/>
    <w:rsid w:val="0021388B"/>
    <w:rsid w:val="00221799"/>
    <w:rsid w:val="0022484F"/>
    <w:rsid w:val="002518D4"/>
    <w:rsid w:val="002523B2"/>
    <w:rsid w:val="002605A7"/>
    <w:rsid w:val="002704A9"/>
    <w:rsid w:val="002B351B"/>
    <w:rsid w:val="002C17B8"/>
    <w:rsid w:val="0031447E"/>
    <w:rsid w:val="00320E47"/>
    <w:rsid w:val="00326B7A"/>
    <w:rsid w:val="00336321"/>
    <w:rsid w:val="00344CBF"/>
    <w:rsid w:val="003A0B65"/>
    <w:rsid w:val="003A56ED"/>
    <w:rsid w:val="003D70F6"/>
    <w:rsid w:val="003F3A7F"/>
    <w:rsid w:val="00440700"/>
    <w:rsid w:val="00445343"/>
    <w:rsid w:val="00456CC3"/>
    <w:rsid w:val="00475398"/>
    <w:rsid w:val="0049599E"/>
    <w:rsid w:val="004D2C86"/>
    <w:rsid w:val="005218F2"/>
    <w:rsid w:val="00524E57"/>
    <w:rsid w:val="00536E4D"/>
    <w:rsid w:val="005455F0"/>
    <w:rsid w:val="0057700B"/>
    <w:rsid w:val="005920C5"/>
    <w:rsid w:val="005A7C10"/>
    <w:rsid w:val="005C49D4"/>
    <w:rsid w:val="005D08C0"/>
    <w:rsid w:val="005D72A6"/>
    <w:rsid w:val="005E54F8"/>
    <w:rsid w:val="00607D35"/>
    <w:rsid w:val="0063355D"/>
    <w:rsid w:val="006405C8"/>
    <w:rsid w:val="00657081"/>
    <w:rsid w:val="006C4DEC"/>
    <w:rsid w:val="006D7B2C"/>
    <w:rsid w:val="00722C9C"/>
    <w:rsid w:val="00723FC0"/>
    <w:rsid w:val="0074361C"/>
    <w:rsid w:val="007748E1"/>
    <w:rsid w:val="007E4244"/>
    <w:rsid w:val="007F3E25"/>
    <w:rsid w:val="0080572D"/>
    <w:rsid w:val="00836CE9"/>
    <w:rsid w:val="00851289"/>
    <w:rsid w:val="00861539"/>
    <w:rsid w:val="008801B4"/>
    <w:rsid w:val="008B53DF"/>
    <w:rsid w:val="008E5174"/>
    <w:rsid w:val="008E59BB"/>
    <w:rsid w:val="008F2A1E"/>
    <w:rsid w:val="0090518B"/>
    <w:rsid w:val="00911CA4"/>
    <w:rsid w:val="0093328D"/>
    <w:rsid w:val="009453E5"/>
    <w:rsid w:val="0096004F"/>
    <w:rsid w:val="00964448"/>
    <w:rsid w:val="00965AFF"/>
    <w:rsid w:val="0096644E"/>
    <w:rsid w:val="00982CBC"/>
    <w:rsid w:val="00997C87"/>
    <w:rsid w:val="009A050D"/>
    <w:rsid w:val="009A4509"/>
    <w:rsid w:val="009A70CE"/>
    <w:rsid w:val="009B50B1"/>
    <w:rsid w:val="009C09E4"/>
    <w:rsid w:val="009F0C84"/>
    <w:rsid w:val="009F1A38"/>
    <w:rsid w:val="00A90735"/>
    <w:rsid w:val="00AC0F4A"/>
    <w:rsid w:val="00AC2635"/>
    <w:rsid w:val="00AC4F8F"/>
    <w:rsid w:val="00AD3126"/>
    <w:rsid w:val="00AF0F7E"/>
    <w:rsid w:val="00AF6E9B"/>
    <w:rsid w:val="00B36F36"/>
    <w:rsid w:val="00B50D7A"/>
    <w:rsid w:val="00B61C7D"/>
    <w:rsid w:val="00B62644"/>
    <w:rsid w:val="00B67CA2"/>
    <w:rsid w:val="00B84F9E"/>
    <w:rsid w:val="00BA1A54"/>
    <w:rsid w:val="00BB0F6F"/>
    <w:rsid w:val="00BB3239"/>
    <w:rsid w:val="00BB7FC8"/>
    <w:rsid w:val="00BC7838"/>
    <w:rsid w:val="00BD0E94"/>
    <w:rsid w:val="00BF6C65"/>
    <w:rsid w:val="00C7669F"/>
    <w:rsid w:val="00CB1105"/>
    <w:rsid w:val="00CB3C33"/>
    <w:rsid w:val="00CD0CFC"/>
    <w:rsid w:val="00CD5922"/>
    <w:rsid w:val="00CE6082"/>
    <w:rsid w:val="00D3487A"/>
    <w:rsid w:val="00D4493A"/>
    <w:rsid w:val="00D65FD7"/>
    <w:rsid w:val="00D75FDA"/>
    <w:rsid w:val="00DA6841"/>
    <w:rsid w:val="00E402F8"/>
    <w:rsid w:val="00E44558"/>
    <w:rsid w:val="00E548E7"/>
    <w:rsid w:val="00E55F63"/>
    <w:rsid w:val="00E61660"/>
    <w:rsid w:val="00E6233F"/>
    <w:rsid w:val="00E7659F"/>
    <w:rsid w:val="00E837F4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95664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Gordana Mošmondor</cp:lastModifiedBy>
  <cp:revision>17</cp:revision>
  <cp:lastPrinted>2023-03-06T13:32:00Z</cp:lastPrinted>
  <dcterms:created xsi:type="dcterms:W3CDTF">2023-03-06T13:25:00Z</dcterms:created>
  <dcterms:modified xsi:type="dcterms:W3CDTF">2023-03-08T09:02:00Z</dcterms:modified>
</cp:coreProperties>
</file>