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23" w:type="dxa"/>
        <w:tblInd w:w="-307" w:type="dxa"/>
        <w:tblBorders>
          <w:top w:val="single" w:sz="18" w:space="0" w:color="auto"/>
          <w:left w:val="single" w:sz="18" w:space="0" w:color="auto"/>
          <w:bottom w:val="single" w:sz="18" w:space="0" w:color="auto"/>
          <w:right w:val="single" w:sz="18" w:space="0" w:color="auto"/>
          <w:insideH w:val="single" w:sz="2" w:space="0" w:color="auto"/>
          <w:insideV w:val="single" w:sz="12" w:space="0" w:color="auto"/>
        </w:tblBorders>
        <w:tblLook w:val="04A0" w:firstRow="1" w:lastRow="0" w:firstColumn="1" w:lastColumn="0" w:noHBand="0" w:noVBand="1"/>
      </w:tblPr>
      <w:tblGrid>
        <w:gridCol w:w="2718"/>
        <w:gridCol w:w="7205"/>
      </w:tblGrid>
      <w:tr w:rsidR="0000653B" w:rsidRPr="00F9050D" w14:paraId="175AA3A3" w14:textId="77777777" w:rsidTr="00DB223B">
        <w:trPr>
          <w:trHeight w:val="416"/>
        </w:trPr>
        <w:tc>
          <w:tcPr>
            <w:tcW w:w="9923" w:type="dxa"/>
            <w:gridSpan w:val="2"/>
            <w:vAlign w:val="center"/>
          </w:tcPr>
          <w:p w14:paraId="5D5169F4" w14:textId="77777777" w:rsidR="0000653B" w:rsidRPr="00F9050D" w:rsidRDefault="0000653B" w:rsidP="00CD04D4">
            <w:pPr>
              <w:jc w:val="center"/>
              <w:rPr>
                <w:b/>
                <w:sz w:val="24"/>
                <w:szCs w:val="24"/>
              </w:rPr>
            </w:pPr>
            <w:bookmarkStart w:id="0" w:name="OLE_LINK1"/>
            <w:r w:rsidRPr="00F9050D">
              <w:rPr>
                <w:b/>
                <w:sz w:val="24"/>
                <w:szCs w:val="24"/>
              </w:rPr>
              <w:t>IZVJEŠĆE O PROVEDENOM SAVJETOVANJU SA ZAINTERESIRANOM JAVNOŠĆU</w:t>
            </w:r>
          </w:p>
        </w:tc>
      </w:tr>
      <w:tr w:rsidR="0000653B" w:rsidRPr="00F9050D" w14:paraId="5B9F4809" w14:textId="77777777" w:rsidTr="00DB223B">
        <w:trPr>
          <w:trHeight w:val="415"/>
        </w:trPr>
        <w:tc>
          <w:tcPr>
            <w:tcW w:w="9923" w:type="dxa"/>
            <w:gridSpan w:val="2"/>
            <w:vAlign w:val="center"/>
          </w:tcPr>
          <w:p w14:paraId="0B447092" w14:textId="438776AF" w:rsidR="0000653B" w:rsidRPr="00F9050D" w:rsidRDefault="0000653B" w:rsidP="000E3440">
            <w:pPr>
              <w:jc w:val="both"/>
            </w:pPr>
            <w:r w:rsidRPr="00F9050D">
              <w:t xml:space="preserve">Naziv akta o kojem je savjetovanje provedeno: </w:t>
            </w:r>
            <w:r w:rsidR="00BC428A" w:rsidRPr="00BC428A">
              <w:rPr>
                <w:b/>
                <w:sz w:val="22"/>
                <w:szCs w:val="22"/>
                <w:u w:val="single"/>
              </w:rPr>
              <w:t xml:space="preserve">NACRT </w:t>
            </w:r>
            <w:r w:rsidR="00D53A6F">
              <w:rPr>
                <w:b/>
                <w:sz w:val="22"/>
                <w:szCs w:val="22"/>
                <w:u w:val="single"/>
              </w:rPr>
              <w:t>PRIJE</w:t>
            </w:r>
            <w:r w:rsidR="00B87A35">
              <w:rPr>
                <w:b/>
                <w:sz w:val="22"/>
                <w:szCs w:val="22"/>
                <w:u w:val="single"/>
              </w:rPr>
              <w:t>D</w:t>
            </w:r>
            <w:r w:rsidR="00D53A6F">
              <w:rPr>
                <w:b/>
                <w:sz w:val="22"/>
                <w:szCs w:val="22"/>
                <w:u w:val="single"/>
              </w:rPr>
              <w:t xml:space="preserve">LOGA </w:t>
            </w:r>
            <w:r w:rsidR="00311BF5">
              <w:rPr>
                <w:b/>
                <w:bCs/>
                <w:sz w:val="22"/>
                <w:szCs w:val="22"/>
                <w:u w:val="single"/>
              </w:rPr>
              <w:t xml:space="preserve">PROGRAMA </w:t>
            </w:r>
            <w:r w:rsidR="00580DA8">
              <w:rPr>
                <w:b/>
                <w:bCs/>
                <w:sz w:val="22"/>
                <w:szCs w:val="22"/>
                <w:u w:val="single"/>
              </w:rPr>
              <w:t>DODJELE BESPOVRATNIH POTPORA GRADA IVANCA</w:t>
            </w:r>
            <w:r w:rsidR="00B8312B">
              <w:rPr>
                <w:b/>
                <w:bCs/>
                <w:sz w:val="22"/>
                <w:szCs w:val="22"/>
                <w:u w:val="single"/>
              </w:rPr>
              <w:t xml:space="preserve"> U TURIZMU</w:t>
            </w:r>
          </w:p>
        </w:tc>
      </w:tr>
      <w:tr w:rsidR="0000653B" w:rsidRPr="00F9050D" w14:paraId="4CE03D60" w14:textId="77777777" w:rsidTr="00DB223B">
        <w:trPr>
          <w:trHeight w:val="582"/>
        </w:trPr>
        <w:tc>
          <w:tcPr>
            <w:tcW w:w="9923" w:type="dxa"/>
            <w:gridSpan w:val="2"/>
            <w:tcBorders>
              <w:bottom w:val="single" w:sz="12" w:space="0" w:color="auto"/>
            </w:tcBorders>
            <w:vAlign w:val="center"/>
          </w:tcPr>
          <w:p w14:paraId="089B678D" w14:textId="146006FE" w:rsidR="0000653B" w:rsidRPr="00F9050D" w:rsidRDefault="0000653B" w:rsidP="00A8049A">
            <w:r w:rsidRPr="00F9050D">
              <w:rPr>
                <w:b/>
              </w:rPr>
              <w:t>Vrijeme trajanja savjetovanja:</w:t>
            </w:r>
            <w:r w:rsidRPr="00F9050D">
              <w:t xml:space="preserve"> Savjetovanje je provedeno u trajanju </w:t>
            </w:r>
            <w:r w:rsidR="00580DA8">
              <w:t>od 18. siječnja 2023.</w:t>
            </w:r>
            <w:r w:rsidR="00EE5ABA">
              <w:t xml:space="preserve"> </w:t>
            </w:r>
            <w:r w:rsidR="00DE1FB4">
              <w:t xml:space="preserve">do </w:t>
            </w:r>
            <w:r w:rsidR="00580DA8">
              <w:t>17. veljače 2023.</w:t>
            </w:r>
            <w:r w:rsidR="00DE1FB4" w:rsidRPr="003F3A7F">
              <w:t xml:space="preserve"> godine</w:t>
            </w:r>
            <w:r w:rsidR="00A8049A" w:rsidRPr="00CB7E2D">
              <w:t>.</w:t>
            </w:r>
          </w:p>
        </w:tc>
      </w:tr>
      <w:tr w:rsidR="0000653B" w:rsidRPr="00F9050D" w14:paraId="069D9BD0" w14:textId="77777777" w:rsidTr="00DB223B">
        <w:trPr>
          <w:trHeight w:val="845"/>
        </w:trPr>
        <w:tc>
          <w:tcPr>
            <w:tcW w:w="2718" w:type="dxa"/>
            <w:tcBorders>
              <w:top w:val="single" w:sz="12" w:space="0" w:color="auto"/>
              <w:bottom w:val="single" w:sz="18" w:space="0" w:color="auto"/>
            </w:tcBorders>
            <w:vAlign w:val="center"/>
          </w:tcPr>
          <w:p w14:paraId="519F6BB5" w14:textId="77777777" w:rsidR="0000653B" w:rsidRPr="00F9050D" w:rsidRDefault="0000653B" w:rsidP="00CD04D4">
            <w:pPr>
              <w:jc w:val="center"/>
              <w:rPr>
                <w:b/>
              </w:rPr>
            </w:pPr>
            <w:r w:rsidRPr="00F9050D">
              <w:rPr>
                <w:b/>
              </w:rPr>
              <w:t>Cilj i glavne teme savjetovanja</w:t>
            </w:r>
          </w:p>
        </w:tc>
        <w:tc>
          <w:tcPr>
            <w:tcW w:w="7205" w:type="dxa"/>
            <w:tcBorders>
              <w:top w:val="single" w:sz="12" w:space="0" w:color="auto"/>
              <w:bottom w:val="single" w:sz="18" w:space="0" w:color="auto"/>
            </w:tcBorders>
            <w:vAlign w:val="center"/>
          </w:tcPr>
          <w:p w14:paraId="6BF3E4CE" w14:textId="1B47A5D2" w:rsidR="0000653B" w:rsidRPr="000E3440" w:rsidRDefault="004513B6" w:rsidP="00601F2B">
            <w:pPr>
              <w:jc w:val="both"/>
              <w:rPr>
                <w:b/>
                <w:bCs/>
              </w:rPr>
            </w:pPr>
            <w:r w:rsidRPr="000E3440">
              <w:t>Cilj provođenja savjetovanja sa zainteresiranom javnošću je upoznavanje javnosti s</w:t>
            </w:r>
            <w:r w:rsidR="00E17769" w:rsidRPr="000E3440">
              <w:t>a</w:t>
            </w:r>
            <w:r w:rsidRPr="000E3440">
              <w:t xml:space="preserve"> </w:t>
            </w:r>
            <w:r w:rsidR="00513D0A" w:rsidRPr="000E3440">
              <w:rPr>
                <w:b/>
              </w:rPr>
              <w:t>N</w:t>
            </w:r>
            <w:r w:rsidR="00BC428A" w:rsidRPr="000E3440">
              <w:rPr>
                <w:b/>
              </w:rPr>
              <w:t xml:space="preserve">acrtom </w:t>
            </w:r>
            <w:r w:rsidR="00D53A6F" w:rsidRPr="000E3440">
              <w:rPr>
                <w:b/>
              </w:rPr>
              <w:t>prijedloga</w:t>
            </w:r>
            <w:r w:rsidR="00521B84" w:rsidRPr="000E3440">
              <w:rPr>
                <w:b/>
              </w:rPr>
              <w:t xml:space="preserve"> </w:t>
            </w:r>
            <w:r w:rsidR="00AF6554">
              <w:rPr>
                <w:b/>
              </w:rPr>
              <w:t xml:space="preserve">Programa </w:t>
            </w:r>
            <w:r w:rsidR="00580DA8">
              <w:rPr>
                <w:b/>
              </w:rPr>
              <w:t>dodjele bespovratnih potpora Grada Ivanca</w:t>
            </w:r>
            <w:r w:rsidR="00B8312B">
              <w:rPr>
                <w:b/>
              </w:rPr>
              <w:t xml:space="preserve"> u turizmu</w:t>
            </w:r>
            <w:r w:rsidR="00580DA8">
              <w:rPr>
                <w:b/>
              </w:rPr>
              <w:t xml:space="preserve"> </w:t>
            </w:r>
            <w:r w:rsidR="00FA40BB" w:rsidRPr="000E3440">
              <w:t>te dobivanja mišljenja, primjedbi i prijedloga te eventualno prihvaćanje zakonitih i stručno utemeljenih mišljenja, primjedbi i prijedloga</w:t>
            </w:r>
            <w:r w:rsidRPr="000E3440">
              <w:t>.</w:t>
            </w:r>
          </w:p>
        </w:tc>
      </w:tr>
    </w:tbl>
    <w:p w14:paraId="676F4078" w14:textId="77777777" w:rsidR="0000653B" w:rsidRPr="00F9050D" w:rsidRDefault="0000653B" w:rsidP="0000653B">
      <w:pPr>
        <w:jc w:val="center"/>
      </w:pPr>
    </w:p>
    <w:tbl>
      <w:tblPr>
        <w:tblW w:w="9923" w:type="dxa"/>
        <w:tblInd w:w="-307" w:type="dxa"/>
        <w:tblBorders>
          <w:top w:val="single" w:sz="18" w:space="0" w:color="auto"/>
          <w:left w:val="single" w:sz="18" w:space="0" w:color="auto"/>
          <w:bottom w:val="single" w:sz="18" w:space="0" w:color="auto"/>
          <w:right w:val="single" w:sz="18" w:space="0" w:color="auto"/>
          <w:insideH w:val="single" w:sz="2" w:space="0" w:color="auto"/>
          <w:insideV w:val="single" w:sz="2" w:space="0" w:color="auto"/>
        </w:tblBorders>
        <w:tblLayout w:type="fixed"/>
        <w:tblLook w:val="04A0" w:firstRow="1" w:lastRow="0" w:firstColumn="1" w:lastColumn="0" w:noHBand="0" w:noVBand="1"/>
      </w:tblPr>
      <w:tblGrid>
        <w:gridCol w:w="568"/>
        <w:gridCol w:w="1559"/>
        <w:gridCol w:w="1559"/>
        <w:gridCol w:w="3828"/>
        <w:gridCol w:w="2409"/>
      </w:tblGrid>
      <w:tr w:rsidR="0000653B" w:rsidRPr="00F9050D" w14:paraId="6554354F" w14:textId="77777777" w:rsidTr="00A127EA">
        <w:trPr>
          <w:trHeight w:val="1160"/>
        </w:trPr>
        <w:tc>
          <w:tcPr>
            <w:tcW w:w="568" w:type="dxa"/>
            <w:vAlign w:val="center"/>
          </w:tcPr>
          <w:p w14:paraId="3209277E" w14:textId="77777777" w:rsidR="0000653B" w:rsidRPr="00F9050D" w:rsidRDefault="00F9050D" w:rsidP="003C26B6">
            <w:pPr>
              <w:jc w:val="center"/>
              <w:rPr>
                <w:b/>
              </w:rPr>
            </w:pPr>
            <w:r w:rsidRPr="003C26B6">
              <w:rPr>
                <w:b/>
                <w:sz w:val="17"/>
                <w:szCs w:val="17"/>
              </w:rPr>
              <w:t>Red</w:t>
            </w:r>
            <w:r w:rsidR="003C26B6" w:rsidRPr="003C26B6">
              <w:rPr>
                <w:b/>
                <w:sz w:val="17"/>
                <w:szCs w:val="17"/>
              </w:rPr>
              <w:t>.</w:t>
            </w:r>
            <w:r w:rsidR="0000653B" w:rsidRPr="003C26B6">
              <w:rPr>
                <w:b/>
                <w:sz w:val="17"/>
                <w:szCs w:val="17"/>
              </w:rPr>
              <w:t xml:space="preserve"> br</w:t>
            </w:r>
            <w:r w:rsidRPr="00F9050D">
              <w:rPr>
                <w:b/>
              </w:rPr>
              <w:t>.</w:t>
            </w:r>
          </w:p>
        </w:tc>
        <w:tc>
          <w:tcPr>
            <w:tcW w:w="1559" w:type="dxa"/>
            <w:vAlign w:val="center"/>
          </w:tcPr>
          <w:p w14:paraId="243CD5D5" w14:textId="77777777" w:rsidR="0000653B" w:rsidRPr="00F9050D" w:rsidRDefault="0000653B" w:rsidP="00CD04D4">
            <w:pPr>
              <w:jc w:val="center"/>
              <w:rPr>
                <w:b/>
              </w:rPr>
            </w:pPr>
            <w:r w:rsidRPr="00F9050D">
              <w:rPr>
                <w:b/>
              </w:rPr>
              <w:t>Naziv dionika (pojedinac, organizacija, institucija)</w:t>
            </w:r>
          </w:p>
        </w:tc>
        <w:tc>
          <w:tcPr>
            <w:tcW w:w="1559" w:type="dxa"/>
            <w:vAlign w:val="center"/>
          </w:tcPr>
          <w:p w14:paraId="4CE403AD" w14:textId="77777777" w:rsidR="0000653B" w:rsidRPr="00F9050D" w:rsidRDefault="0000653B" w:rsidP="00CD04D4">
            <w:pPr>
              <w:jc w:val="center"/>
              <w:rPr>
                <w:b/>
              </w:rPr>
            </w:pPr>
            <w:r w:rsidRPr="00F9050D">
              <w:rPr>
                <w:b/>
              </w:rPr>
              <w:t>Članak na koji se odnosi primjedba/</w:t>
            </w:r>
          </w:p>
          <w:p w14:paraId="626DDFA2" w14:textId="77777777" w:rsidR="0000653B" w:rsidRPr="00F9050D" w:rsidRDefault="0000653B" w:rsidP="00CD04D4">
            <w:pPr>
              <w:jc w:val="center"/>
              <w:rPr>
                <w:b/>
              </w:rPr>
            </w:pPr>
            <w:r w:rsidRPr="00F9050D">
              <w:rPr>
                <w:b/>
              </w:rPr>
              <w:t>prijedlog</w:t>
            </w:r>
          </w:p>
        </w:tc>
        <w:tc>
          <w:tcPr>
            <w:tcW w:w="3828" w:type="dxa"/>
            <w:vAlign w:val="center"/>
          </w:tcPr>
          <w:p w14:paraId="2C293740" w14:textId="77777777" w:rsidR="0000653B" w:rsidRPr="00F9050D" w:rsidRDefault="0000653B" w:rsidP="00CD04D4">
            <w:pPr>
              <w:jc w:val="center"/>
              <w:rPr>
                <w:b/>
              </w:rPr>
            </w:pPr>
            <w:r w:rsidRPr="00F9050D">
              <w:rPr>
                <w:b/>
              </w:rPr>
              <w:t>Tekst primjedbe/prijedloga</w:t>
            </w:r>
          </w:p>
        </w:tc>
        <w:tc>
          <w:tcPr>
            <w:tcW w:w="2409" w:type="dxa"/>
            <w:vAlign w:val="center"/>
          </w:tcPr>
          <w:p w14:paraId="44394D38" w14:textId="77777777" w:rsidR="0000653B" w:rsidRPr="00F9050D" w:rsidRDefault="0000653B" w:rsidP="00CD04D4">
            <w:pPr>
              <w:jc w:val="center"/>
              <w:rPr>
                <w:b/>
              </w:rPr>
            </w:pPr>
            <w:r w:rsidRPr="00F9050D">
              <w:rPr>
                <w:b/>
              </w:rPr>
              <w:t>Prihvaćanje/ neprihvaćanje primjedbe ili prijedloga</w:t>
            </w:r>
          </w:p>
        </w:tc>
      </w:tr>
      <w:tr w:rsidR="00556E33" w:rsidRPr="00F9050D" w14:paraId="4D6805D6" w14:textId="77777777" w:rsidTr="00A127EA">
        <w:trPr>
          <w:trHeight w:val="1577"/>
        </w:trPr>
        <w:tc>
          <w:tcPr>
            <w:tcW w:w="568" w:type="dxa"/>
          </w:tcPr>
          <w:p w14:paraId="6A8DFAFA" w14:textId="322A84CD" w:rsidR="00556E33" w:rsidRPr="00F9050D" w:rsidRDefault="000F2D50" w:rsidP="00CD04D4">
            <w:pPr>
              <w:jc w:val="center"/>
            </w:pPr>
            <w:r>
              <w:t>1.</w:t>
            </w:r>
          </w:p>
        </w:tc>
        <w:tc>
          <w:tcPr>
            <w:tcW w:w="1559" w:type="dxa"/>
          </w:tcPr>
          <w:p w14:paraId="63E23C82" w14:textId="6756BD59" w:rsidR="00556E33" w:rsidRPr="00F9050D" w:rsidRDefault="000F2D50" w:rsidP="00CD04D4">
            <w:pPr>
              <w:jc w:val="center"/>
            </w:pPr>
            <w:r>
              <w:t>Martin Levačić</w:t>
            </w:r>
          </w:p>
        </w:tc>
        <w:tc>
          <w:tcPr>
            <w:tcW w:w="1559" w:type="dxa"/>
          </w:tcPr>
          <w:p w14:paraId="79383272" w14:textId="099BCEE5" w:rsidR="00556E33" w:rsidRPr="00F9050D" w:rsidRDefault="000F2D50" w:rsidP="008B7B3A">
            <w:r>
              <w:t>Čl. 4. Mjera 1. točka 1.4. subvencija kamate iz kredita turističke namjene</w:t>
            </w:r>
          </w:p>
        </w:tc>
        <w:tc>
          <w:tcPr>
            <w:tcW w:w="3828" w:type="dxa"/>
          </w:tcPr>
          <w:p w14:paraId="7F659406" w14:textId="77777777" w:rsidR="00556E33" w:rsidRDefault="000F2D50" w:rsidP="00556E33">
            <w:pPr>
              <w:jc w:val="both"/>
            </w:pPr>
            <w:r>
              <w:t>Predlaže se dopuna, odnosno jasnije propisivanje prihvatljivih vrsta kredita, definiranje anuiteta i roka otplate, te povećanje maksimalnog iznosa na način: „Ovom mjerom korisnici ostvaruju pravo na subvenciju u visini od 50% ugovorene kamate, odnosno u visini 50% anuiteta/rate po ugovorenom kreditu (prihvatljive vrste kredita: turistički kredit ili stambeni kredit namjene izgradnja ili kupnja kuće za odmor), u trajanju od maksimalno 5 godina (kredit može biti ugovoren i na duži period, ali subvencija je maksimalno 5 godina), za kredite maksimalnog iznosa do 75.000 EUR/100.000 EUR.“</w:t>
            </w:r>
          </w:p>
          <w:p w14:paraId="1C4C474C" w14:textId="238C3F69" w:rsidR="000F2D50" w:rsidRDefault="000F2D50" w:rsidP="00556E33">
            <w:pPr>
              <w:jc w:val="both"/>
            </w:pPr>
            <w:r>
              <w:t>Obrazloženje: Potrebno je jasnije definirati i proširiti namjenu/vrstu kredita iz razloga što većina komercijalnih banaka u Hrvatskoj ako je prihvatljiv samo turistički kredit koji u ponudi ima samo nekoliko banaka u Hrvatskoj su ograničeni uvjetom da bi aplicirao na turistički kredit moraš se minimalno godinu ili dvije godine baviti turističkim iznajmljivanjem. Navedeno predstavlja veliki problem početnicima koji se žele početi baviti ulaganjem u turističke kapacitete jer nemaju zadovoljen taj uvjet i jedina vrsta financiranja koja je dostupna putem komercijalnih Banka je tada namjenski stambeni kredit namjene kupnja ili izgradnja kuća za odmor što je onda isto turistička namjen</w:t>
            </w:r>
            <w:r w:rsidR="000D3258">
              <w:t>a</w:t>
            </w:r>
            <w:r>
              <w:t>, no mjerom nije tako definirano.</w:t>
            </w:r>
          </w:p>
          <w:p w14:paraId="710DE3A0" w14:textId="00BA9283" w:rsidR="000F2D50" w:rsidRDefault="000F2D50" w:rsidP="00556E33">
            <w:pPr>
              <w:jc w:val="both"/>
            </w:pPr>
            <w:r>
              <w:t>- povećanje maksimalno prihvatljivog iznosa za subvenciju za 75.000 ili 100.000 EUR predlaže se iz razloga što je iznos od 50.000 EUR bio i prijašnjih godina, a s obzirom na višestruko povećanje troška gradnje i cijene rada navedeni iznos u ovim vremenima je svakako prenizak i nije dostatan za bilo kakvo ulaganje u nove smještajne kapacitete u turizmu.</w:t>
            </w:r>
          </w:p>
          <w:p w14:paraId="63CF0701" w14:textId="6A29DC09" w:rsidR="000F2D50" w:rsidRPr="00F9050D" w:rsidRDefault="000F2D50" w:rsidP="00556E33">
            <w:pPr>
              <w:jc w:val="both"/>
            </w:pPr>
            <w:r>
              <w:t xml:space="preserve">- Potrebno je jasnije definirati da se subvencija odnosi na iznos anuiteta/rate po financiranju/kreditu u </w:t>
            </w:r>
            <w:proofErr w:type="spellStart"/>
            <w:r>
              <w:t>max</w:t>
            </w:r>
            <w:proofErr w:type="spellEnd"/>
            <w:r>
              <w:t xml:space="preserve"> iznosu 50% anuiteta/rate</w:t>
            </w:r>
          </w:p>
        </w:tc>
        <w:tc>
          <w:tcPr>
            <w:tcW w:w="2409" w:type="dxa"/>
          </w:tcPr>
          <w:p w14:paraId="54996AE5" w14:textId="77777777" w:rsidR="00C53E1D" w:rsidRDefault="003D1F8C" w:rsidP="00A2130A">
            <w:pPr>
              <w:jc w:val="both"/>
            </w:pPr>
            <w:r>
              <w:t>Djelomično prihvaćen</w:t>
            </w:r>
            <w:r w:rsidR="00C53E1D">
              <w:t xml:space="preserve">. </w:t>
            </w:r>
          </w:p>
          <w:p w14:paraId="44C6D55C" w14:textId="77777777" w:rsidR="00C53E1D" w:rsidRDefault="00C53E1D" w:rsidP="00A2130A">
            <w:pPr>
              <w:jc w:val="both"/>
            </w:pPr>
          </w:p>
          <w:p w14:paraId="4A075385" w14:textId="77777777" w:rsidR="00ED1C28" w:rsidRDefault="00C53E1D" w:rsidP="00A2130A">
            <w:pPr>
              <w:jc w:val="both"/>
            </w:pPr>
            <w:r>
              <w:t xml:space="preserve">Pod točkom 4. Mjera 1. točka 1.4. „subvencija kamate iz kredita za izgradnju objekata turističke namjene“, jasnije je definirano da ovom mjerom korisnici ostvaruju pravo na subvenciju u visini od 50% ugovorene kamate iz mjesečne obveze po kreditu za izgradnju objekata turističke namjene. </w:t>
            </w:r>
          </w:p>
          <w:p w14:paraId="184C97CB" w14:textId="06B788CA" w:rsidR="00556E33" w:rsidRPr="00F9050D" w:rsidRDefault="00C53E1D" w:rsidP="00A2130A">
            <w:pPr>
              <w:jc w:val="both"/>
            </w:pPr>
            <w:r>
              <w:t>Subvencija će se realizirati do maksimalno 5 godina i do maksimalnog iznosa kredita od 50.000,00 eura, neovisno o tome na koji iznos i na koji period je ugovor o kreditu sklopljen.</w:t>
            </w:r>
          </w:p>
        </w:tc>
      </w:tr>
      <w:tr w:rsidR="000F2D50" w:rsidRPr="00F9050D" w14:paraId="43FAD754" w14:textId="77777777" w:rsidTr="00A127EA">
        <w:trPr>
          <w:trHeight w:val="1577"/>
        </w:trPr>
        <w:tc>
          <w:tcPr>
            <w:tcW w:w="568" w:type="dxa"/>
          </w:tcPr>
          <w:p w14:paraId="43B5EEDA" w14:textId="3565B19D" w:rsidR="000F2D50" w:rsidRPr="00F9050D" w:rsidRDefault="000F2D50" w:rsidP="00CD04D4">
            <w:pPr>
              <w:jc w:val="center"/>
            </w:pPr>
            <w:r>
              <w:lastRenderedPageBreak/>
              <w:t>2.</w:t>
            </w:r>
          </w:p>
        </w:tc>
        <w:tc>
          <w:tcPr>
            <w:tcW w:w="1559" w:type="dxa"/>
          </w:tcPr>
          <w:p w14:paraId="3598EFB9" w14:textId="1654241D" w:rsidR="000F2D50" w:rsidRDefault="000F2D50" w:rsidP="00CD04D4">
            <w:pPr>
              <w:jc w:val="center"/>
            </w:pPr>
            <w:r>
              <w:t>Martin Levačić</w:t>
            </w:r>
          </w:p>
        </w:tc>
        <w:tc>
          <w:tcPr>
            <w:tcW w:w="1559" w:type="dxa"/>
          </w:tcPr>
          <w:p w14:paraId="47314D78" w14:textId="5BA3041A" w:rsidR="000F2D50" w:rsidRDefault="000F2D50" w:rsidP="008B7B3A">
            <w:r>
              <w:t>Članak 4. Mjera 1. točka 1.1. oslobođenje od dijela plaćanja komunalnog doprinosa</w:t>
            </w:r>
          </w:p>
        </w:tc>
        <w:tc>
          <w:tcPr>
            <w:tcW w:w="3828" w:type="dxa"/>
          </w:tcPr>
          <w:p w14:paraId="0234EAC8" w14:textId="77777777" w:rsidR="000F2D50" w:rsidRDefault="000F2D50" w:rsidP="00556E33">
            <w:pPr>
              <w:jc w:val="both"/>
            </w:pPr>
            <w:r>
              <w:t>Predlaže se dopuna/dodavanje oslobođenje od dijela plaćanja komunalnog doprinosa za kuće za odmor:</w:t>
            </w:r>
          </w:p>
          <w:p w14:paraId="11639C79" w14:textId="77777777" w:rsidR="000F2D50" w:rsidRDefault="000F2D50" w:rsidP="00556E33">
            <w:pPr>
              <w:jc w:val="both"/>
            </w:pPr>
            <w:r>
              <w:t>- kuća za odmor u visini od 20% utvrđene visine komunalnog doprinosa kod izgradnje kuća za odmor</w:t>
            </w:r>
          </w:p>
          <w:p w14:paraId="4975D673" w14:textId="5F1DD3AB" w:rsidR="000F2D50" w:rsidRDefault="000F2D50" w:rsidP="00556E33">
            <w:pPr>
              <w:jc w:val="both"/>
            </w:pPr>
            <w:r>
              <w:t xml:space="preserve">Obrazloženje: Oslobođenje se npr. odnosi na objekte iz skupine hotela, a ne odnosi se na kuće za odmor. Veća je vjerojatnost zainteresiranosti ulaganja u kuće za odmor nego ulaganja u hotele na području grada Ivanca. Kuće za odmor su oslobođene programom potpore samo plaćanja godišnjeg poreza što je relativno mali iznos (prosjek cca 40 </w:t>
            </w:r>
            <w:proofErr w:type="spellStart"/>
            <w:r>
              <w:t>eur</w:t>
            </w:r>
            <w:proofErr w:type="spellEnd"/>
            <w:r>
              <w:t xml:space="preserve"> godišnje) i može se odnositi samo na one koji već iznajmljuju turističke kapacitete, ali svi oni koji se žele početi baviti time i uložiti u nove smještajne kapacitete nemaju u tom dijelu potporu.</w:t>
            </w:r>
          </w:p>
        </w:tc>
        <w:tc>
          <w:tcPr>
            <w:tcW w:w="2409" w:type="dxa"/>
          </w:tcPr>
          <w:p w14:paraId="1F0CEA26" w14:textId="77777777" w:rsidR="008D042A" w:rsidRDefault="000F756D" w:rsidP="00A2130A">
            <w:pPr>
              <w:jc w:val="both"/>
            </w:pPr>
            <w:r>
              <w:t>Primjeno na znanje</w:t>
            </w:r>
            <w:r w:rsidR="00C53E1D">
              <w:t>.</w:t>
            </w:r>
          </w:p>
          <w:p w14:paraId="2F9AF970" w14:textId="77777777" w:rsidR="00C53E1D" w:rsidRDefault="00C53E1D" w:rsidP="00A2130A">
            <w:pPr>
              <w:jc w:val="both"/>
            </w:pPr>
          </w:p>
          <w:p w14:paraId="58820E63" w14:textId="5938FD59" w:rsidR="00D47224" w:rsidRDefault="00C53E1D" w:rsidP="00A2130A">
            <w:pPr>
              <w:jc w:val="both"/>
            </w:pPr>
            <w:r>
              <w:t xml:space="preserve">U </w:t>
            </w:r>
            <w:r w:rsidR="00D47224">
              <w:t xml:space="preserve">nacrtu prijedloga Programa, u </w:t>
            </w:r>
            <w:r>
              <w:t>članku 4. Mjera 1. točka 1.1. „oslobođenje od dijela plaćanja komunalnog doprinosa“, pod alinejom 2. pr</w:t>
            </w:r>
            <w:r w:rsidR="00ED1C28">
              <w:t>opisano</w:t>
            </w:r>
            <w:r>
              <w:t xml:space="preserve"> je da se oslobođenje od dijela plaćanja komunalnog doprinosa </w:t>
            </w:r>
            <w:r w:rsidR="00ED1C28">
              <w:t xml:space="preserve">u visini od 45 % utvrđene visine </w:t>
            </w:r>
            <w:r>
              <w:t>odnosi</w:t>
            </w:r>
            <w:r w:rsidR="00D47224">
              <w:t>, između ostalog, i</w:t>
            </w:r>
            <w:r>
              <w:t xml:space="preserve"> na objekte u kojima se pružaju ugostiteljske usluge u domaćinstvu</w:t>
            </w:r>
            <w:r w:rsidR="00D47224">
              <w:t>, a</w:t>
            </w:r>
            <w:r>
              <w:t xml:space="preserve"> u koje spadaju i kuće za odmor.</w:t>
            </w:r>
          </w:p>
          <w:p w14:paraId="48B0DC28" w14:textId="5294C3AA" w:rsidR="00C53E1D" w:rsidRPr="00F9050D" w:rsidRDefault="00C53E1D" w:rsidP="00A2130A">
            <w:pPr>
              <w:jc w:val="both"/>
            </w:pPr>
            <w:r>
              <w:t>Temeljem iznijete primjedbe/prijedloga, u članku 4. Mjera 1. točka 1.1., alineja 2. jasnije je definirano koji su to objekti u kojima se pružaju ugostiteljske usluge u domaćinstvu, a na koja se odnosi oslobođenje plaćanja dijela komunalnog doprinosa u visini od 45 % utvrđene visine istog (apartman, studio apartman, kuća za odmor).</w:t>
            </w:r>
          </w:p>
        </w:tc>
      </w:tr>
      <w:tr w:rsidR="000F2D50" w:rsidRPr="00F9050D" w14:paraId="28B91ECB" w14:textId="77777777" w:rsidTr="00A127EA">
        <w:trPr>
          <w:trHeight w:val="1577"/>
        </w:trPr>
        <w:tc>
          <w:tcPr>
            <w:tcW w:w="568" w:type="dxa"/>
          </w:tcPr>
          <w:p w14:paraId="63E22F38" w14:textId="78E5ED2D" w:rsidR="000F2D50" w:rsidRDefault="000F2D50" w:rsidP="00CD04D4">
            <w:pPr>
              <w:jc w:val="center"/>
            </w:pPr>
            <w:r>
              <w:t>3.</w:t>
            </w:r>
          </w:p>
        </w:tc>
        <w:tc>
          <w:tcPr>
            <w:tcW w:w="1559" w:type="dxa"/>
          </w:tcPr>
          <w:p w14:paraId="773A6470" w14:textId="0AEC851E" w:rsidR="000F2D50" w:rsidRDefault="000F2D50" w:rsidP="00CD04D4">
            <w:pPr>
              <w:jc w:val="center"/>
            </w:pPr>
            <w:r>
              <w:t>Martin Levačić</w:t>
            </w:r>
          </w:p>
        </w:tc>
        <w:tc>
          <w:tcPr>
            <w:tcW w:w="1559" w:type="dxa"/>
          </w:tcPr>
          <w:p w14:paraId="162C0883" w14:textId="1E976251" w:rsidR="000F2D50" w:rsidRDefault="000F2D50" w:rsidP="008B7B3A">
            <w:r>
              <w:t>Članak 4. Mjera 1. točka 1.5. Povrat vodnog doprinosa</w:t>
            </w:r>
          </w:p>
        </w:tc>
        <w:tc>
          <w:tcPr>
            <w:tcW w:w="3828" w:type="dxa"/>
          </w:tcPr>
          <w:p w14:paraId="4DDE0E70" w14:textId="77777777" w:rsidR="000F2D50" w:rsidRDefault="000F2D50" w:rsidP="00556E33">
            <w:pPr>
              <w:jc w:val="both"/>
            </w:pPr>
            <w:r>
              <w:t>Predlaže se dopuna/dodavanje oslobođenja od dijela plaćanja komunalnog doprinosa i za kuće za odmor:</w:t>
            </w:r>
          </w:p>
          <w:p w14:paraId="7DA1B796" w14:textId="77777777" w:rsidR="000F2D50" w:rsidRDefault="000F2D50" w:rsidP="00556E33">
            <w:pPr>
              <w:jc w:val="both"/>
            </w:pPr>
            <w:r>
              <w:t>- povrat vodnog doprinosa u visino od 10% utvrđenog i uplaćenog iznosa za objekte iz skupine hoteli, objekte u kojima se pružaju ugostiteljske usluge u domaćinstvu i na obiteljskim poljoprivrednim gospodarstvima, kuća za odmor i na ostale objekte iz sektora ugostiteljstva.</w:t>
            </w:r>
          </w:p>
          <w:p w14:paraId="53D57FD1" w14:textId="77777777" w:rsidR="002E4E8B" w:rsidRDefault="002E4E8B" w:rsidP="00556E33">
            <w:pPr>
              <w:jc w:val="both"/>
            </w:pPr>
            <w:r>
              <w:t>Obrazloženje: povrat vodnog doprinosa se npr. odnosi na objekte iz skupine hotela i ostale skupine iz ugostiteljske djelatnosti, a ne odnosi se na kuće za odmor.</w:t>
            </w:r>
          </w:p>
          <w:p w14:paraId="324F4BC1" w14:textId="359FCAB0" w:rsidR="002E4E8B" w:rsidRDefault="002E4E8B" w:rsidP="00556E33">
            <w:pPr>
              <w:jc w:val="both"/>
            </w:pPr>
            <w:r>
              <w:t>Povrat vodnog doprinosa za izgradnju novih smještajnih kapaciteta u vidu kuća za odmor je dobar poticaj za ulaganja u tu vrstu turizma.</w:t>
            </w:r>
          </w:p>
        </w:tc>
        <w:tc>
          <w:tcPr>
            <w:tcW w:w="2409" w:type="dxa"/>
          </w:tcPr>
          <w:p w14:paraId="2A14137B" w14:textId="3461042C" w:rsidR="000F2D50" w:rsidRDefault="000F756D" w:rsidP="00A2130A">
            <w:pPr>
              <w:jc w:val="both"/>
            </w:pPr>
            <w:r>
              <w:t>Primljeno na znanje</w:t>
            </w:r>
            <w:r w:rsidR="00ED1C28">
              <w:t>.</w:t>
            </w:r>
          </w:p>
          <w:p w14:paraId="08E9D425" w14:textId="0D7C3FD9" w:rsidR="009637FD" w:rsidRDefault="009637FD" w:rsidP="00A2130A">
            <w:pPr>
              <w:jc w:val="both"/>
            </w:pPr>
          </w:p>
          <w:p w14:paraId="72AA2858" w14:textId="1204769B" w:rsidR="009637FD" w:rsidRDefault="009637FD" w:rsidP="00A2130A">
            <w:pPr>
              <w:jc w:val="both"/>
            </w:pPr>
            <w:r>
              <w:t>U nacrtu prijedloga Programa, u članku 4. Mjera 1. točka 1.5. „povrat vodnog doprinosa“, propisana je mogućnost povrata vodnog doprinosa u visini od 10% utvrđenog i uplaćenog iznosa za objekte iz skupine hoteli, objekte u kojima se pružaju ugostiteljske usluge u domaćinstvu i na obiteljskom poljoprivrednom gospodarstvu i na ostale objekte iz sektora ugostiteljstva.</w:t>
            </w:r>
          </w:p>
          <w:p w14:paraId="2719ED80" w14:textId="5DD5DD82" w:rsidR="00ED1C28" w:rsidRPr="00F9050D" w:rsidRDefault="009637FD" w:rsidP="00A2130A">
            <w:pPr>
              <w:jc w:val="both"/>
            </w:pPr>
            <w:r>
              <w:t>Temeljem iznijete primjedbe/prijedloga, u članku 4. Mjera 1. točka 1.5. jasnije je definirano koji su to objekti u kojima se pružaju ugostiteljske usluge u domaćinstvu, a na koja se odnosi pravo na povrat u visini od 10% utvrđenog iznosa vodnog doprinosa (apartman, studio apartman, kuća za odmor)</w:t>
            </w:r>
          </w:p>
        </w:tc>
      </w:tr>
      <w:bookmarkEnd w:id="0"/>
    </w:tbl>
    <w:p w14:paraId="2AB4BA56" w14:textId="77777777" w:rsidR="007347C3" w:rsidRPr="00F9050D" w:rsidRDefault="007347C3" w:rsidP="00A127EF"/>
    <w:sectPr w:rsidR="007347C3" w:rsidRPr="00F9050D" w:rsidSect="00556E33">
      <w:footerReference w:type="first" r:id="rId7"/>
      <w:pgSz w:w="11906" w:h="16838" w:code="9"/>
      <w:pgMar w:top="1276" w:right="851" w:bottom="284"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83B8A2" w14:textId="77777777" w:rsidR="006D4B49" w:rsidRDefault="006D4B49">
      <w:r>
        <w:separator/>
      </w:r>
    </w:p>
  </w:endnote>
  <w:endnote w:type="continuationSeparator" w:id="0">
    <w:p w14:paraId="4FD087B6" w14:textId="77777777" w:rsidR="006D4B49" w:rsidRDefault="006D4B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6EE3B" w14:textId="77777777" w:rsidR="00103622" w:rsidRDefault="00103622">
    <w:pPr>
      <w:pStyle w:val="Podnoje"/>
      <w:pBdr>
        <w:top w:val="single" w:sz="8" w:space="1" w:color="auto"/>
      </w:pBdr>
      <w:rPr>
        <w:rFonts w:ascii="Arial" w:hAnsi="Arial"/>
        <w:b/>
        <w:sz w:val="14"/>
      </w:rPr>
    </w:pPr>
    <w:r>
      <w:rPr>
        <w:rFonts w:ascii="Arial" w:hAnsi="Arial"/>
        <w:b/>
        <w:sz w:val="14"/>
      </w:rPr>
      <w:t>Titov trg 3, 51000  Rijeka, Hrvatska                                                                                                                                   www.grad-rijeka.tel.hr/grad-rijeka</w:t>
    </w:r>
  </w:p>
  <w:p w14:paraId="195E11D9" w14:textId="77777777" w:rsidR="00103622" w:rsidRDefault="00103622">
    <w:pPr>
      <w:pStyle w:val="Podnoje"/>
      <w:rPr>
        <w:rFonts w:ascii="Arial" w:hAnsi="Arial"/>
        <w:sz w:val="14"/>
      </w:rPr>
    </w:pPr>
    <w:r>
      <w:rPr>
        <w:rFonts w:ascii="Arial" w:hAnsi="Arial"/>
        <w:b/>
        <w:sz w:val="14"/>
      </w:rPr>
      <w:t>Tel. ++38551209380, Fax. 216661                                                                                                                                       E-mail: vladimir.bizjak@ri.tel.hr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BBE5CCC" w14:textId="77777777" w:rsidR="006D4B49" w:rsidRDefault="006D4B49">
      <w:r>
        <w:separator/>
      </w:r>
    </w:p>
  </w:footnote>
  <w:footnote w:type="continuationSeparator" w:id="0">
    <w:p w14:paraId="49820338" w14:textId="77777777" w:rsidR="006D4B49" w:rsidRDefault="006D4B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D5567A"/>
    <w:multiLevelType w:val="singleLevel"/>
    <w:tmpl w:val="0C09000F"/>
    <w:lvl w:ilvl="0">
      <w:start w:val="1"/>
      <w:numFmt w:val="decimal"/>
      <w:lvlText w:val="%1."/>
      <w:lvlJc w:val="left"/>
      <w:pPr>
        <w:tabs>
          <w:tab w:val="num" w:pos="360"/>
        </w:tabs>
        <w:ind w:left="360" w:hanging="360"/>
      </w:pPr>
      <w:rPr>
        <w:rFonts w:hint="default"/>
      </w:rPr>
    </w:lvl>
  </w:abstractNum>
  <w:abstractNum w:abstractNumId="1" w15:restartNumberingAfterBreak="0">
    <w:nsid w:val="231D5B06"/>
    <w:multiLevelType w:val="singleLevel"/>
    <w:tmpl w:val="880E08EE"/>
    <w:lvl w:ilvl="0">
      <w:numFmt w:val="bullet"/>
      <w:lvlText w:val="-"/>
      <w:lvlJc w:val="left"/>
      <w:pPr>
        <w:tabs>
          <w:tab w:val="num" w:pos="1560"/>
        </w:tabs>
        <w:ind w:left="1560" w:hanging="360"/>
      </w:pPr>
      <w:rPr>
        <w:rFonts w:ascii="Times New Roman" w:hAnsi="Times New Roman" w:hint="default"/>
      </w:rPr>
    </w:lvl>
  </w:abstractNum>
  <w:abstractNum w:abstractNumId="2" w15:restartNumberingAfterBreak="0">
    <w:nsid w:val="26676F83"/>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FEF1AD7"/>
    <w:multiLevelType w:val="singleLevel"/>
    <w:tmpl w:val="0C09000F"/>
    <w:lvl w:ilvl="0">
      <w:start w:val="1"/>
      <w:numFmt w:val="decimal"/>
      <w:lvlText w:val="%1."/>
      <w:lvlJc w:val="left"/>
      <w:pPr>
        <w:tabs>
          <w:tab w:val="num" w:pos="360"/>
        </w:tabs>
        <w:ind w:left="360" w:hanging="360"/>
      </w:pPr>
    </w:lvl>
  </w:abstractNum>
  <w:abstractNum w:abstractNumId="4" w15:restartNumberingAfterBreak="0">
    <w:nsid w:val="39621DF9"/>
    <w:multiLevelType w:val="singleLevel"/>
    <w:tmpl w:val="0138F8CC"/>
    <w:lvl w:ilvl="0">
      <w:start w:val="16"/>
      <w:numFmt w:val="bullet"/>
      <w:lvlText w:val="-"/>
      <w:lvlJc w:val="left"/>
      <w:pPr>
        <w:tabs>
          <w:tab w:val="num" w:pos="1560"/>
        </w:tabs>
        <w:ind w:left="1560" w:hanging="360"/>
      </w:pPr>
      <w:rPr>
        <w:rFonts w:ascii="Times New Roman" w:hAnsi="Times New Roman" w:hint="default"/>
      </w:rPr>
    </w:lvl>
  </w:abstractNum>
  <w:abstractNum w:abstractNumId="5" w15:restartNumberingAfterBreak="0">
    <w:nsid w:val="4A5A10EE"/>
    <w:multiLevelType w:val="singleLevel"/>
    <w:tmpl w:val="0C09000F"/>
    <w:lvl w:ilvl="0">
      <w:start w:val="1"/>
      <w:numFmt w:val="decimal"/>
      <w:lvlText w:val="%1."/>
      <w:lvlJc w:val="left"/>
      <w:pPr>
        <w:tabs>
          <w:tab w:val="num" w:pos="360"/>
        </w:tabs>
        <w:ind w:left="360" w:hanging="360"/>
      </w:pPr>
    </w:lvl>
  </w:abstractNum>
  <w:abstractNum w:abstractNumId="6" w15:restartNumberingAfterBreak="0">
    <w:nsid w:val="4C080770"/>
    <w:multiLevelType w:val="singleLevel"/>
    <w:tmpl w:val="F80CAE66"/>
    <w:lvl w:ilvl="0">
      <w:numFmt w:val="bullet"/>
      <w:lvlText w:val="-"/>
      <w:lvlJc w:val="left"/>
      <w:pPr>
        <w:tabs>
          <w:tab w:val="num" w:pos="1560"/>
        </w:tabs>
        <w:ind w:left="1560" w:hanging="360"/>
      </w:pPr>
      <w:rPr>
        <w:rFonts w:ascii="Times New Roman" w:hAnsi="Times New Roman" w:hint="default"/>
      </w:rPr>
    </w:lvl>
  </w:abstractNum>
  <w:abstractNum w:abstractNumId="7" w15:restartNumberingAfterBreak="0">
    <w:nsid w:val="4EB36103"/>
    <w:multiLevelType w:val="singleLevel"/>
    <w:tmpl w:val="0C09000F"/>
    <w:lvl w:ilvl="0">
      <w:start w:val="1"/>
      <w:numFmt w:val="decimal"/>
      <w:lvlText w:val="%1."/>
      <w:lvlJc w:val="left"/>
      <w:pPr>
        <w:tabs>
          <w:tab w:val="num" w:pos="360"/>
        </w:tabs>
        <w:ind w:left="360" w:hanging="360"/>
      </w:pPr>
      <w:rPr>
        <w:rFonts w:hint="default"/>
      </w:rPr>
    </w:lvl>
  </w:abstractNum>
  <w:abstractNum w:abstractNumId="8" w15:restartNumberingAfterBreak="0">
    <w:nsid w:val="55904D45"/>
    <w:multiLevelType w:val="singleLevel"/>
    <w:tmpl w:val="41DE4598"/>
    <w:lvl w:ilvl="0">
      <w:start w:val="1"/>
      <w:numFmt w:val="bullet"/>
      <w:lvlText w:val="-"/>
      <w:lvlJc w:val="left"/>
      <w:pPr>
        <w:tabs>
          <w:tab w:val="num" w:pos="1560"/>
        </w:tabs>
        <w:ind w:left="1560" w:hanging="360"/>
      </w:pPr>
      <w:rPr>
        <w:rFonts w:ascii="Times New Roman" w:hAnsi="Times New Roman" w:hint="default"/>
      </w:rPr>
    </w:lvl>
  </w:abstractNum>
  <w:abstractNum w:abstractNumId="9" w15:restartNumberingAfterBreak="0">
    <w:nsid w:val="6CA844E0"/>
    <w:multiLevelType w:val="singleLevel"/>
    <w:tmpl w:val="27E00C4C"/>
    <w:lvl w:ilvl="0">
      <w:numFmt w:val="bullet"/>
      <w:lvlText w:val="-"/>
      <w:lvlJc w:val="left"/>
      <w:pPr>
        <w:tabs>
          <w:tab w:val="num" w:pos="1620"/>
        </w:tabs>
        <w:ind w:left="1620" w:hanging="360"/>
      </w:pPr>
      <w:rPr>
        <w:rFonts w:ascii="Times New Roman" w:hAnsi="Times New Roman" w:hint="default"/>
      </w:rPr>
    </w:lvl>
  </w:abstractNum>
  <w:abstractNum w:abstractNumId="10" w15:restartNumberingAfterBreak="0">
    <w:nsid w:val="71563CBC"/>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78A0627D"/>
    <w:multiLevelType w:val="hybridMultilevel"/>
    <w:tmpl w:val="F5FA0E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827898">
    <w:abstractNumId w:val="4"/>
  </w:num>
  <w:num w:numId="2" w16cid:durableId="1667321107">
    <w:abstractNumId w:val="1"/>
  </w:num>
  <w:num w:numId="3" w16cid:durableId="281301087">
    <w:abstractNumId w:val="6"/>
  </w:num>
  <w:num w:numId="4" w16cid:durableId="845051606">
    <w:abstractNumId w:val="8"/>
  </w:num>
  <w:num w:numId="5" w16cid:durableId="620570114">
    <w:abstractNumId w:val="3"/>
  </w:num>
  <w:num w:numId="6" w16cid:durableId="1839465013">
    <w:abstractNumId w:val="0"/>
  </w:num>
  <w:num w:numId="7" w16cid:durableId="1238519665">
    <w:abstractNumId w:val="9"/>
  </w:num>
  <w:num w:numId="8" w16cid:durableId="1618877878">
    <w:abstractNumId w:val="5"/>
  </w:num>
  <w:num w:numId="9" w16cid:durableId="1814906028">
    <w:abstractNumId w:val="2"/>
  </w:num>
  <w:num w:numId="10" w16cid:durableId="454064501">
    <w:abstractNumId w:val="7"/>
  </w:num>
  <w:num w:numId="11" w16cid:durableId="1552646022">
    <w:abstractNumId w:val="10"/>
  </w:num>
  <w:num w:numId="12" w16cid:durableId="102204887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622"/>
    <w:rsid w:val="0000653B"/>
    <w:rsid w:val="00047182"/>
    <w:rsid w:val="00074787"/>
    <w:rsid w:val="00095F4B"/>
    <w:rsid w:val="00097807"/>
    <w:rsid w:val="000A7786"/>
    <w:rsid w:val="000B3BFF"/>
    <w:rsid w:val="000C0DB1"/>
    <w:rsid w:val="000C75F9"/>
    <w:rsid w:val="000D3258"/>
    <w:rsid w:val="000D6A49"/>
    <w:rsid w:val="000E3440"/>
    <w:rsid w:val="000F2D50"/>
    <w:rsid w:val="000F4148"/>
    <w:rsid w:val="000F675B"/>
    <w:rsid w:val="000F756D"/>
    <w:rsid w:val="00103622"/>
    <w:rsid w:val="00110262"/>
    <w:rsid w:val="00114C96"/>
    <w:rsid w:val="001158A5"/>
    <w:rsid w:val="00122635"/>
    <w:rsid w:val="0012682F"/>
    <w:rsid w:val="001832DF"/>
    <w:rsid w:val="001A42C1"/>
    <w:rsid w:val="001C57F6"/>
    <w:rsid w:val="0024008A"/>
    <w:rsid w:val="00240B60"/>
    <w:rsid w:val="002416D4"/>
    <w:rsid w:val="00292C2A"/>
    <w:rsid w:val="002934AA"/>
    <w:rsid w:val="002966DF"/>
    <w:rsid w:val="002B5C35"/>
    <w:rsid w:val="002C0340"/>
    <w:rsid w:val="002D4F0D"/>
    <w:rsid w:val="002E4E8B"/>
    <w:rsid w:val="00311BF5"/>
    <w:rsid w:val="00321EAA"/>
    <w:rsid w:val="00364A15"/>
    <w:rsid w:val="00364A53"/>
    <w:rsid w:val="0036670E"/>
    <w:rsid w:val="00376AF8"/>
    <w:rsid w:val="003C26B6"/>
    <w:rsid w:val="003D1F8C"/>
    <w:rsid w:val="003F4621"/>
    <w:rsid w:val="00405C16"/>
    <w:rsid w:val="00410707"/>
    <w:rsid w:val="004172D7"/>
    <w:rsid w:val="004513B6"/>
    <w:rsid w:val="004579A9"/>
    <w:rsid w:val="00464ED2"/>
    <w:rsid w:val="004834A8"/>
    <w:rsid w:val="004A67C3"/>
    <w:rsid w:val="004B3851"/>
    <w:rsid w:val="004B3E5F"/>
    <w:rsid w:val="004E536B"/>
    <w:rsid w:val="004F38CC"/>
    <w:rsid w:val="00513D0A"/>
    <w:rsid w:val="00521B84"/>
    <w:rsid w:val="00531A0E"/>
    <w:rsid w:val="00531C35"/>
    <w:rsid w:val="00556E33"/>
    <w:rsid w:val="00580DA8"/>
    <w:rsid w:val="00595748"/>
    <w:rsid w:val="005D1906"/>
    <w:rsid w:val="005D24F1"/>
    <w:rsid w:val="005D3E3E"/>
    <w:rsid w:val="00601F2B"/>
    <w:rsid w:val="0062286A"/>
    <w:rsid w:val="006240A3"/>
    <w:rsid w:val="0064744C"/>
    <w:rsid w:val="006562E0"/>
    <w:rsid w:val="00681D2A"/>
    <w:rsid w:val="00692ADA"/>
    <w:rsid w:val="006979F2"/>
    <w:rsid w:val="006B4689"/>
    <w:rsid w:val="006C5556"/>
    <w:rsid w:val="006C788A"/>
    <w:rsid w:val="006D2AC1"/>
    <w:rsid w:val="006D4B49"/>
    <w:rsid w:val="00707070"/>
    <w:rsid w:val="007347C3"/>
    <w:rsid w:val="007602F9"/>
    <w:rsid w:val="0076382A"/>
    <w:rsid w:val="00786644"/>
    <w:rsid w:val="007A170F"/>
    <w:rsid w:val="007A6128"/>
    <w:rsid w:val="007C3FB8"/>
    <w:rsid w:val="007F1EF3"/>
    <w:rsid w:val="008769A6"/>
    <w:rsid w:val="00880639"/>
    <w:rsid w:val="00891838"/>
    <w:rsid w:val="008A375D"/>
    <w:rsid w:val="008A39D8"/>
    <w:rsid w:val="008B7B3A"/>
    <w:rsid w:val="008D042A"/>
    <w:rsid w:val="008E3F40"/>
    <w:rsid w:val="008E5256"/>
    <w:rsid w:val="008F6238"/>
    <w:rsid w:val="00915E8F"/>
    <w:rsid w:val="00916E96"/>
    <w:rsid w:val="00933FF5"/>
    <w:rsid w:val="009518AE"/>
    <w:rsid w:val="009637FD"/>
    <w:rsid w:val="00A04BDA"/>
    <w:rsid w:val="00A127EA"/>
    <w:rsid w:val="00A127EF"/>
    <w:rsid w:val="00A134F2"/>
    <w:rsid w:val="00A2130A"/>
    <w:rsid w:val="00A60A0D"/>
    <w:rsid w:val="00A8049A"/>
    <w:rsid w:val="00AB0268"/>
    <w:rsid w:val="00AB41DB"/>
    <w:rsid w:val="00AB60FF"/>
    <w:rsid w:val="00AC1F87"/>
    <w:rsid w:val="00AF6554"/>
    <w:rsid w:val="00B01AF4"/>
    <w:rsid w:val="00B03458"/>
    <w:rsid w:val="00B046D5"/>
    <w:rsid w:val="00B10B58"/>
    <w:rsid w:val="00B17D3E"/>
    <w:rsid w:val="00B5483D"/>
    <w:rsid w:val="00B55976"/>
    <w:rsid w:val="00B656F5"/>
    <w:rsid w:val="00B65DA8"/>
    <w:rsid w:val="00B822BC"/>
    <w:rsid w:val="00B8312B"/>
    <w:rsid w:val="00B87A35"/>
    <w:rsid w:val="00BA4652"/>
    <w:rsid w:val="00BB0338"/>
    <w:rsid w:val="00BC428A"/>
    <w:rsid w:val="00BC6C67"/>
    <w:rsid w:val="00BF1D62"/>
    <w:rsid w:val="00BF66BA"/>
    <w:rsid w:val="00C01830"/>
    <w:rsid w:val="00C23C28"/>
    <w:rsid w:val="00C279F5"/>
    <w:rsid w:val="00C53561"/>
    <w:rsid w:val="00C53E1D"/>
    <w:rsid w:val="00C622CA"/>
    <w:rsid w:val="00CA58A7"/>
    <w:rsid w:val="00CD04D4"/>
    <w:rsid w:val="00CF14E1"/>
    <w:rsid w:val="00D1545D"/>
    <w:rsid w:val="00D30820"/>
    <w:rsid w:val="00D47224"/>
    <w:rsid w:val="00D53A6F"/>
    <w:rsid w:val="00D7201E"/>
    <w:rsid w:val="00D85817"/>
    <w:rsid w:val="00DB0CA0"/>
    <w:rsid w:val="00DB223B"/>
    <w:rsid w:val="00DC7F47"/>
    <w:rsid w:val="00DE1FB4"/>
    <w:rsid w:val="00DE359C"/>
    <w:rsid w:val="00E17769"/>
    <w:rsid w:val="00E24896"/>
    <w:rsid w:val="00E537C5"/>
    <w:rsid w:val="00E84A3C"/>
    <w:rsid w:val="00E95DDD"/>
    <w:rsid w:val="00EA3F58"/>
    <w:rsid w:val="00EA65BA"/>
    <w:rsid w:val="00ED1C28"/>
    <w:rsid w:val="00EE5ABA"/>
    <w:rsid w:val="00F00E22"/>
    <w:rsid w:val="00F11236"/>
    <w:rsid w:val="00F12445"/>
    <w:rsid w:val="00F21524"/>
    <w:rsid w:val="00F377CB"/>
    <w:rsid w:val="00F9050D"/>
    <w:rsid w:val="00FA40BB"/>
    <w:rsid w:val="00FA64FB"/>
    <w:rsid w:val="00FC6AC6"/>
    <w:rsid w:val="00FE6BC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C0EED50"/>
  <w15:chartTrackingRefBased/>
  <w15:docId w15:val="{ABBCCC26-8FDB-4EF7-8049-7AE5DBE72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US"/>
    </w:rPr>
  </w:style>
  <w:style w:type="paragraph" w:styleId="Naslov4">
    <w:name w:val="heading 4"/>
    <w:basedOn w:val="Normal"/>
    <w:next w:val="Normal"/>
    <w:qFormat/>
    <w:pPr>
      <w:keepNext/>
      <w:outlineLvl w:val="3"/>
    </w:pPr>
    <w:rPr>
      <w:b/>
    </w:rPr>
  </w:style>
  <w:style w:type="paragraph" w:styleId="Naslov5">
    <w:name w:val="heading 5"/>
    <w:basedOn w:val="Normal"/>
    <w:next w:val="Normal"/>
    <w:qFormat/>
    <w:pPr>
      <w:keepNext/>
      <w:outlineLvl w:val="4"/>
    </w:pPr>
    <w:rPr>
      <w:b/>
      <w:sz w:val="22"/>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pPr>
      <w:tabs>
        <w:tab w:val="center" w:pos="4320"/>
        <w:tab w:val="right" w:pos="8640"/>
      </w:tabs>
    </w:pPr>
    <w:rPr>
      <w:sz w:val="22"/>
    </w:rPr>
  </w:style>
  <w:style w:type="paragraph" w:styleId="Podnoje">
    <w:name w:val="footer"/>
    <w:basedOn w:val="Normal"/>
    <w:pPr>
      <w:tabs>
        <w:tab w:val="center" w:pos="4320"/>
        <w:tab w:val="right" w:pos="8640"/>
      </w:tabs>
    </w:pPr>
    <w:rPr>
      <w:sz w:val="22"/>
    </w:rPr>
  </w:style>
  <w:style w:type="paragraph" w:styleId="Tijeloteksta">
    <w:name w:val="Body Text"/>
    <w:basedOn w:val="Normal"/>
    <w:link w:val="TijelotekstaChar"/>
    <w:rsid w:val="008A375D"/>
    <w:pPr>
      <w:spacing w:after="120"/>
    </w:pPr>
    <w:rPr>
      <w:sz w:val="24"/>
      <w:szCs w:val="24"/>
      <w:lang w:val="x-none" w:eastAsia="x-none"/>
    </w:rPr>
  </w:style>
  <w:style w:type="character" w:customStyle="1" w:styleId="TijelotekstaChar">
    <w:name w:val="Tijelo teksta Char"/>
    <w:link w:val="Tijeloteksta"/>
    <w:rsid w:val="008A375D"/>
    <w:rPr>
      <w:sz w:val="24"/>
      <w:szCs w:val="24"/>
    </w:rPr>
  </w:style>
  <w:style w:type="character" w:styleId="Hiperveza">
    <w:name w:val="Hyperlink"/>
    <w:rsid w:val="008A375D"/>
    <w:rPr>
      <w:color w:val="0000FF"/>
      <w:u w:val="single"/>
    </w:rPr>
  </w:style>
  <w:style w:type="paragraph" w:styleId="Bezproreda">
    <w:name w:val="No Spacing"/>
    <w:qFormat/>
    <w:rsid w:val="008A375D"/>
    <w:rPr>
      <w:sz w:val="24"/>
      <w:szCs w:val="24"/>
    </w:rPr>
  </w:style>
  <w:style w:type="paragraph" w:styleId="Tekstbalonia">
    <w:name w:val="Balloon Text"/>
    <w:basedOn w:val="Normal"/>
    <w:link w:val="TekstbaloniaChar"/>
    <w:rsid w:val="006240A3"/>
    <w:rPr>
      <w:rFonts w:ascii="Segoe UI" w:hAnsi="Segoe UI" w:cs="Segoe UI"/>
      <w:sz w:val="18"/>
      <w:szCs w:val="18"/>
    </w:rPr>
  </w:style>
  <w:style w:type="character" w:customStyle="1" w:styleId="TekstbaloniaChar">
    <w:name w:val="Tekst balončića Char"/>
    <w:basedOn w:val="Zadanifontodlomka"/>
    <w:link w:val="Tekstbalonia"/>
    <w:rsid w:val="006240A3"/>
    <w:rPr>
      <w:rFonts w:ascii="Segoe UI" w:hAnsi="Segoe UI" w:cs="Segoe UI"/>
      <w:sz w:val="18"/>
      <w:szCs w:val="18"/>
      <w:lang w:eastAsia="en-US"/>
    </w:rPr>
  </w:style>
  <w:style w:type="character" w:styleId="Istaknuto">
    <w:name w:val="Emphasis"/>
    <w:basedOn w:val="Zadanifontodlomka"/>
    <w:qFormat/>
    <w:rsid w:val="00E537C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3879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Outlook\Templates\DOPIS%202002.dot"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DOPIS 2002</Template>
  <TotalTime>132</TotalTime>
  <Pages>1</Pages>
  <Words>927</Words>
  <Characters>5289</Characters>
  <Application>Microsoft Office Word</Application>
  <DocSecurity>0</DocSecurity>
  <Lines>44</Lines>
  <Paragraphs>12</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lpstr>                           </vt:lpstr>
    </vt:vector>
  </TitlesOfParts>
  <Company>Grad Rijeka</Company>
  <LinksUpToDate>false</LinksUpToDate>
  <CharactersWithSpaces>6204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Sandra Stašić</dc:creator>
  <cp:keywords/>
  <cp:lastModifiedBy>Gordana Mošmondor</cp:lastModifiedBy>
  <cp:revision>23</cp:revision>
  <cp:lastPrinted>2019-05-15T09:56:00Z</cp:lastPrinted>
  <dcterms:created xsi:type="dcterms:W3CDTF">2023-02-22T12:09:00Z</dcterms:created>
  <dcterms:modified xsi:type="dcterms:W3CDTF">2023-03-10T07:44:00Z</dcterms:modified>
</cp:coreProperties>
</file>