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CF32F" w14:textId="6FE6E387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9525" wp14:anchorId="3348B048" wp14:editId="069F86BD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05692A">
        <w:rPr>
          <w:rFonts w:ascii="Arial" w:hAnsi="Arial" w:cs="Arial"/>
          <w:sz w:val="22"/>
          <w:szCs w:val="22"/>
        </w:rPr>
        <w:t>NACRT</w:t>
      </w:r>
    </w:p>
    <w:p w14:paraId="2E4A265F" w14:textId="77777777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REPUBLIKA HRVATSKA</w:t>
      </w:r>
    </w:p>
    <w:p w14:paraId="6DAECB3F" w14:textId="77777777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VARAŽDINSKA ŽUPANIJA </w:t>
      </w:r>
    </w:p>
    <w:p w14:paraId="65B82DB0" w14:textId="77777777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GRAD IVANEC</w:t>
      </w:r>
    </w:p>
    <w:p w14:paraId="65BDB83D" w14:textId="77777777" w:rsidR="00A00F81" w:rsidRDefault="00A00F81">
      <w:pPr>
        <w:jc w:val="both"/>
        <w:rPr>
          <w:rFonts w:ascii="Arial" w:hAnsi="Arial" w:cs="Arial"/>
          <w:sz w:val="22"/>
          <w:szCs w:val="22"/>
        </w:rPr>
      </w:pPr>
    </w:p>
    <w:p w14:paraId="3A51ED4D" w14:textId="77777777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GRADSKO VIJEĆE</w:t>
      </w:r>
    </w:p>
    <w:p w14:paraId="74098773" w14:textId="77777777" w:rsidR="00A00F81" w:rsidRDefault="00A00F81">
      <w:pPr>
        <w:jc w:val="both"/>
        <w:rPr>
          <w:rFonts w:ascii="Arial" w:hAnsi="Arial" w:cs="Arial"/>
          <w:sz w:val="22"/>
          <w:szCs w:val="22"/>
        </w:rPr>
      </w:pPr>
    </w:p>
    <w:p w14:paraId="2C9E36DF" w14:textId="67061D9A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KLASA: 350-0</w:t>
      </w:r>
      <w:r w:rsidR="009A1E84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/2</w:t>
      </w:r>
      <w:r w:rsidR="001C33D2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-01</w:t>
      </w:r>
      <w:r w:rsidR="009A1E84">
        <w:rPr>
          <w:rFonts w:ascii="Arial" w:hAnsi="Arial" w:cs="Arial"/>
          <w:sz w:val="22"/>
          <w:szCs w:val="22"/>
        </w:rPr>
        <w:t>/18</w:t>
      </w:r>
    </w:p>
    <w:p w14:paraId="4CABD8A9" w14:textId="1734A8CD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URBROJ: 2186</w:t>
      </w:r>
      <w:r w:rsidR="001C33D2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12-03</w:t>
      </w:r>
      <w:r w:rsidR="001C33D2">
        <w:rPr>
          <w:rFonts w:ascii="Arial" w:hAnsi="Arial" w:cs="Arial"/>
          <w:sz w:val="22"/>
          <w:szCs w:val="22"/>
        </w:rPr>
        <w:t>/23-23-1</w:t>
      </w:r>
    </w:p>
    <w:p w14:paraId="77A3A874" w14:textId="77777777" w:rsidR="00A00F81" w:rsidRDefault="00A00F81">
      <w:pPr>
        <w:jc w:val="both"/>
        <w:rPr>
          <w:rFonts w:ascii="Arial" w:hAnsi="Arial" w:cs="Arial"/>
          <w:sz w:val="22"/>
          <w:szCs w:val="22"/>
        </w:rPr>
      </w:pPr>
    </w:p>
    <w:p w14:paraId="5C825AE8" w14:textId="091A2249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Ivanec,  </w:t>
      </w:r>
      <w:r w:rsidR="00647B4E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202</w:t>
      </w:r>
      <w:r w:rsidR="00CC4DF5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</w:t>
      </w:r>
    </w:p>
    <w:p w14:paraId="0FE65E5C" w14:textId="77777777" w:rsidR="00A00F81" w:rsidRDefault="00A00F81">
      <w:pPr>
        <w:jc w:val="both"/>
        <w:rPr>
          <w:rFonts w:ascii="Arial" w:hAnsi="Arial" w:cs="Arial"/>
          <w:sz w:val="22"/>
          <w:szCs w:val="22"/>
        </w:rPr>
      </w:pPr>
    </w:p>
    <w:p w14:paraId="13BEAE5D" w14:textId="5E864870" w:rsidR="00A00F81" w:rsidRDefault="00D1779F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temelju članka 86., 113. i 198. Zakona o prostornom uređenju („Narodne novine“ br. 153/13, 65/17, 114/18, 39/19, 98/19), te </w:t>
      </w:r>
      <w:r>
        <w:rPr>
          <w:rFonts w:ascii="Arial" w:hAnsi="Arial"/>
          <w:sz w:val="22"/>
        </w:rPr>
        <w:t xml:space="preserve">članka 35. Statuta Grada Ivanca  („Službeni vjesnik Varaždinske županije“ br. </w:t>
      </w:r>
      <w:r>
        <w:rPr>
          <w:rFonts w:ascii="Arial" w:hAnsi="Arial" w:cs="Arial"/>
          <w:sz w:val="22"/>
          <w:szCs w:val="22"/>
        </w:rPr>
        <w:t xml:space="preserve">21/09, 12/13, 23/13 – Pročišćeni tekst, 13/18, 8/20), </w:t>
      </w:r>
      <w:r>
        <w:rPr>
          <w:rFonts w:ascii="Arial" w:hAnsi="Arial"/>
          <w:sz w:val="22"/>
          <w:szCs w:val="22"/>
        </w:rPr>
        <w:t>Gradsko vijeće Grada Ivanca  na . sjednici održanoj . 202</w:t>
      </w:r>
      <w:r w:rsidR="001C33D2">
        <w:rPr>
          <w:rFonts w:ascii="Arial" w:hAnsi="Arial"/>
          <w:sz w:val="22"/>
          <w:szCs w:val="22"/>
        </w:rPr>
        <w:t>3</w:t>
      </w:r>
      <w:r>
        <w:rPr>
          <w:rFonts w:ascii="Arial" w:hAnsi="Arial"/>
          <w:sz w:val="22"/>
          <w:szCs w:val="22"/>
        </w:rPr>
        <w:t>. godine, donosi</w:t>
      </w:r>
    </w:p>
    <w:p w14:paraId="1140CE07" w14:textId="7E2C8CA6" w:rsidR="00BE69DE" w:rsidRDefault="00BE69DE">
      <w:pPr>
        <w:jc w:val="both"/>
        <w:rPr>
          <w:rFonts w:ascii="Arial" w:hAnsi="Arial"/>
          <w:sz w:val="22"/>
          <w:szCs w:val="22"/>
        </w:rPr>
      </w:pPr>
    </w:p>
    <w:p w14:paraId="67289A13" w14:textId="524971E5" w:rsidR="00BE69DE" w:rsidRPr="003015F1" w:rsidRDefault="00BE69DE" w:rsidP="003015F1">
      <w:pPr>
        <w:jc w:val="center"/>
        <w:rPr>
          <w:rFonts w:ascii="Arial" w:hAnsi="Arial"/>
          <w:b/>
          <w:sz w:val="24"/>
          <w:szCs w:val="24"/>
        </w:rPr>
      </w:pPr>
      <w:r w:rsidRPr="003015F1">
        <w:rPr>
          <w:rFonts w:ascii="Arial" w:hAnsi="Arial"/>
          <w:b/>
          <w:sz w:val="24"/>
          <w:szCs w:val="24"/>
        </w:rPr>
        <w:t>ODLUKU</w:t>
      </w:r>
    </w:p>
    <w:p w14:paraId="1BABB4C7" w14:textId="77777777" w:rsidR="00BE69DE" w:rsidRPr="003015F1" w:rsidRDefault="00BE69DE" w:rsidP="003015F1">
      <w:pPr>
        <w:jc w:val="center"/>
        <w:rPr>
          <w:rFonts w:ascii="Arial" w:hAnsi="Arial"/>
          <w:b/>
          <w:sz w:val="24"/>
          <w:szCs w:val="24"/>
        </w:rPr>
      </w:pPr>
      <w:r w:rsidRPr="003015F1">
        <w:rPr>
          <w:rFonts w:ascii="Arial" w:hAnsi="Arial"/>
          <w:b/>
          <w:sz w:val="24"/>
          <w:szCs w:val="24"/>
        </w:rPr>
        <w:t>o pokretanju postupka stavljanja izvan snage</w:t>
      </w:r>
    </w:p>
    <w:p w14:paraId="25430306" w14:textId="017AC8C4" w:rsidR="00BE69DE" w:rsidRPr="003015F1" w:rsidRDefault="00BE69DE" w:rsidP="003015F1">
      <w:pPr>
        <w:jc w:val="center"/>
        <w:rPr>
          <w:rFonts w:ascii="Arial" w:hAnsi="Arial"/>
          <w:b/>
          <w:sz w:val="24"/>
          <w:szCs w:val="24"/>
        </w:rPr>
      </w:pPr>
      <w:r w:rsidRPr="003015F1">
        <w:rPr>
          <w:rFonts w:ascii="Arial" w:hAnsi="Arial"/>
          <w:b/>
          <w:sz w:val="24"/>
          <w:szCs w:val="24"/>
        </w:rPr>
        <w:t>Detaljnog plana uređenja Zone C-3 u Ivancu</w:t>
      </w:r>
    </w:p>
    <w:p w14:paraId="16D7B0A9" w14:textId="77777777" w:rsidR="00BE69DE" w:rsidRDefault="00BE69DE" w:rsidP="00BE69DE">
      <w:pPr>
        <w:rPr>
          <w:rFonts w:cs="Arial"/>
          <w:b/>
          <w:sz w:val="24"/>
          <w:szCs w:val="24"/>
        </w:rPr>
      </w:pPr>
    </w:p>
    <w:p w14:paraId="6BA0EEB3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1.</w:t>
      </w:r>
    </w:p>
    <w:p w14:paraId="17F248C8" w14:textId="77777777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Donosi se Odluka o pokretanju postupka stavljanja izvan snage Detaljnog plana uređenja Zone C-3 u Ivancu („Službeni vjesnik Varaždinske županije“ br. 21/01), u daljnjem tekstu: Odluka.</w:t>
      </w:r>
    </w:p>
    <w:p w14:paraId="44DEEEF5" w14:textId="77777777" w:rsidR="00BE69DE" w:rsidRPr="001A0BB9" w:rsidRDefault="00BE69DE" w:rsidP="00BE69DE">
      <w:pPr>
        <w:pStyle w:val="Odlomakpopisa"/>
        <w:ind w:left="0"/>
        <w:jc w:val="both"/>
      </w:pPr>
    </w:p>
    <w:p w14:paraId="3781FFBA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PRAVNA OSNOVA</w:t>
      </w:r>
    </w:p>
    <w:p w14:paraId="113C4A6E" w14:textId="77777777" w:rsidR="00BE69DE" w:rsidRPr="001A0BB9" w:rsidRDefault="00BE69DE" w:rsidP="00BE69DE">
      <w:pPr>
        <w:pStyle w:val="Odlomakpopisa"/>
        <w:ind w:left="0"/>
        <w:jc w:val="both"/>
      </w:pPr>
    </w:p>
    <w:p w14:paraId="510018DB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2.</w:t>
      </w:r>
    </w:p>
    <w:p w14:paraId="0BC65A8F" w14:textId="5FE4B3FF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Pravna osnova za stavljanje izvan snage Detaljnog plana uređenja Zone C-3 u Ivancu (u daljnjem tekstu: „Plan“) iz članka 1. ove Odluke su članci 86., 109. i 113. Zakona o prostornom uređenju (Narodne novine br.  153/13, 65/17</w:t>
      </w:r>
      <w:r w:rsidR="00B43BBF">
        <w:rPr>
          <w:rFonts w:ascii="Arial" w:hAnsi="Arial"/>
          <w:sz w:val="22"/>
          <w:szCs w:val="22"/>
        </w:rPr>
        <w:t xml:space="preserve">, </w:t>
      </w:r>
      <w:r w:rsidRPr="00BE69DE">
        <w:rPr>
          <w:rFonts w:ascii="Arial" w:hAnsi="Arial"/>
          <w:sz w:val="22"/>
          <w:szCs w:val="22"/>
        </w:rPr>
        <w:t>114/18</w:t>
      </w:r>
      <w:r w:rsidR="00B43BBF">
        <w:rPr>
          <w:rFonts w:ascii="Arial" w:hAnsi="Arial"/>
          <w:sz w:val="22"/>
          <w:szCs w:val="22"/>
        </w:rPr>
        <w:t>,</w:t>
      </w:r>
      <w:r w:rsidR="00B43BBF" w:rsidRPr="00B43BBF">
        <w:rPr>
          <w:rFonts w:ascii="Arial" w:hAnsi="Arial"/>
          <w:sz w:val="22"/>
          <w:szCs w:val="22"/>
        </w:rPr>
        <w:t xml:space="preserve"> </w:t>
      </w:r>
      <w:r w:rsidR="00B43BBF">
        <w:rPr>
          <w:rFonts w:ascii="Arial" w:hAnsi="Arial"/>
          <w:sz w:val="22"/>
          <w:szCs w:val="22"/>
        </w:rPr>
        <w:t>39/19, 98/19</w:t>
      </w:r>
      <w:r w:rsidRPr="00BE69DE">
        <w:rPr>
          <w:rFonts w:ascii="Arial" w:hAnsi="Arial"/>
          <w:sz w:val="22"/>
          <w:szCs w:val="22"/>
        </w:rPr>
        <w:t>),  u daljnjem tekstu: Zakon.</w:t>
      </w:r>
    </w:p>
    <w:p w14:paraId="538CE0FC" w14:textId="77777777" w:rsidR="00BE69DE" w:rsidRPr="001A0BB9" w:rsidRDefault="00BE69DE" w:rsidP="00BE69DE">
      <w:pPr>
        <w:jc w:val="both"/>
      </w:pPr>
    </w:p>
    <w:p w14:paraId="5EA016DC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RAZLOZI ZA STAVLJANJE PLANA IZVAN SNAGE</w:t>
      </w:r>
    </w:p>
    <w:p w14:paraId="3E99E4AB" w14:textId="77777777" w:rsidR="00BE69DE" w:rsidRDefault="00BE69DE" w:rsidP="00BE69DE">
      <w:pPr>
        <w:pStyle w:val="Odlomakpopisa"/>
        <w:ind w:left="0"/>
        <w:jc w:val="center"/>
        <w:rPr>
          <w:b/>
        </w:rPr>
      </w:pPr>
    </w:p>
    <w:p w14:paraId="30E6396E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3.</w:t>
      </w:r>
    </w:p>
    <w:p w14:paraId="0B360B7A" w14:textId="68A741D1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Zakon više ne propisuje izradu detaljnih planova uređenja, već </w:t>
      </w:r>
      <w:r w:rsidR="00B43BBF">
        <w:rPr>
          <w:rFonts w:ascii="Arial" w:hAnsi="Arial"/>
          <w:sz w:val="22"/>
          <w:szCs w:val="22"/>
        </w:rPr>
        <w:t xml:space="preserve">postojeće detaljne planove uređenja tretira </w:t>
      </w:r>
      <w:r w:rsidRPr="00BE69DE">
        <w:rPr>
          <w:rFonts w:ascii="Arial" w:hAnsi="Arial"/>
          <w:sz w:val="22"/>
          <w:szCs w:val="22"/>
        </w:rPr>
        <w:t>kao planove lokalne razine</w:t>
      </w:r>
      <w:r w:rsidR="00B43BBF">
        <w:rPr>
          <w:rFonts w:ascii="Arial" w:hAnsi="Arial"/>
          <w:sz w:val="22"/>
          <w:szCs w:val="22"/>
        </w:rPr>
        <w:t xml:space="preserve"> – urbanistički plan uređenja.</w:t>
      </w:r>
    </w:p>
    <w:p w14:paraId="79A919D8" w14:textId="074D412A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Donošenje </w:t>
      </w:r>
      <w:r w:rsidR="00B43BBF" w:rsidRPr="00BE69DE">
        <w:rPr>
          <w:rFonts w:ascii="Arial" w:hAnsi="Arial"/>
          <w:sz w:val="22"/>
          <w:szCs w:val="22"/>
        </w:rPr>
        <w:t xml:space="preserve">Detaljnog plana uređenja Zone C-3 u Ivancu </w:t>
      </w:r>
      <w:r w:rsidRPr="00BE69DE">
        <w:rPr>
          <w:rFonts w:ascii="Arial" w:hAnsi="Arial"/>
          <w:sz w:val="22"/>
          <w:szCs w:val="22"/>
        </w:rPr>
        <w:t>2001. godine pokazalo se opravdanim jer se na temelju njega parcelirala</w:t>
      </w:r>
      <w:r w:rsidR="00703F5B">
        <w:rPr>
          <w:rFonts w:ascii="Arial" w:hAnsi="Arial"/>
          <w:sz w:val="22"/>
          <w:szCs w:val="22"/>
        </w:rPr>
        <w:t xml:space="preserve"> i izgradila</w:t>
      </w:r>
      <w:r w:rsidRPr="00BE69DE">
        <w:rPr>
          <w:rFonts w:ascii="Arial" w:hAnsi="Arial"/>
          <w:sz w:val="22"/>
          <w:szCs w:val="22"/>
        </w:rPr>
        <w:t xml:space="preserve"> većina neizgrađenog građevinskog zemljišta što je omogućilo uređenje zone izgradnjom prometnih površina i komunalne infrastrukture </w:t>
      </w:r>
    </w:p>
    <w:p w14:paraId="67516B6D" w14:textId="04FD7856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Parcelacija određena u predmetnom Planu </w:t>
      </w:r>
      <w:r w:rsidR="008A22C5">
        <w:rPr>
          <w:rFonts w:ascii="Arial" w:hAnsi="Arial"/>
          <w:sz w:val="22"/>
          <w:szCs w:val="22"/>
        </w:rPr>
        <w:t xml:space="preserve">zbog otežanog rješavanja imovinsko pravnih donosa </w:t>
      </w:r>
      <w:r w:rsidRPr="00BE69DE">
        <w:rPr>
          <w:rFonts w:ascii="Arial" w:hAnsi="Arial"/>
          <w:sz w:val="22"/>
          <w:szCs w:val="22"/>
        </w:rPr>
        <w:t xml:space="preserve">prepreka je formiranju </w:t>
      </w:r>
      <w:r w:rsidR="00696A0E">
        <w:rPr>
          <w:rFonts w:ascii="Arial" w:hAnsi="Arial"/>
          <w:sz w:val="22"/>
          <w:szCs w:val="22"/>
        </w:rPr>
        <w:t>i aktiviranju</w:t>
      </w:r>
      <w:r w:rsidRPr="00BE69DE">
        <w:rPr>
          <w:rFonts w:ascii="Arial" w:hAnsi="Arial"/>
          <w:sz w:val="22"/>
          <w:szCs w:val="22"/>
        </w:rPr>
        <w:t xml:space="preserve"> preostalog građevinskog zemljišta,  a u  cilju realizacije nove gradnje u neizgrađenim dijelovima obuhvata</w:t>
      </w:r>
      <w:r w:rsidR="00AB5814">
        <w:rPr>
          <w:rFonts w:ascii="Arial" w:hAnsi="Arial"/>
          <w:sz w:val="22"/>
          <w:szCs w:val="22"/>
        </w:rPr>
        <w:t xml:space="preserve"> nužno je smanjiti moguća ograničenja, a što će se postići s</w:t>
      </w:r>
      <w:r w:rsidRPr="00BE69DE">
        <w:rPr>
          <w:rFonts w:ascii="Arial" w:hAnsi="Arial"/>
          <w:sz w:val="22"/>
          <w:szCs w:val="22"/>
        </w:rPr>
        <w:t xml:space="preserve">tavljanjem izvan snage predmetnog Plana, </w:t>
      </w:r>
      <w:r w:rsidR="00AB5814">
        <w:rPr>
          <w:rFonts w:ascii="Arial" w:hAnsi="Arial"/>
          <w:sz w:val="22"/>
          <w:szCs w:val="22"/>
        </w:rPr>
        <w:t xml:space="preserve"> a nastavak gradnje vršiti će se </w:t>
      </w:r>
      <w:r w:rsidRPr="00BE69DE">
        <w:rPr>
          <w:rFonts w:ascii="Arial" w:hAnsi="Arial"/>
          <w:sz w:val="22"/>
          <w:szCs w:val="22"/>
        </w:rPr>
        <w:t xml:space="preserve">prema važećem UPU-u Ivanca. </w:t>
      </w:r>
    </w:p>
    <w:p w14:paraId="39932D75" w14:textId="77777777" w:rsidR="00BE69DE" w:rsidRDefault="00BE69DE" w:rsidP="00BE69DE">
      <w:pPr>
        <w:pStyle w:val="Odlomakpopisa"/>
        <w:ind w:left="0"/>
        <w:jc w:val="both"/>
      </w:pPr>
    </w:p>
    <w:p w14:paraId="5E43BAD1" w14:textId="77777777" w:rsidR="00BE69DE" w:rsidRPr="00517F10" w:rsidRDefault="00BE69DE" w:rsidP="00517F10">
      <w:pPr>
        <w:jc w:val="both"/>
        <w:rPr>
          <w:rFonts w:ascii="Arial" w:hAnsi="Arial"/>
          <w:b/>
          <w:sz w:val="22"/>
          <w:szCs w:val="22"/>
        </w:rPr>
      </w:pPr>
      <w:r w:rsidRPr="00517F10">
        <w:rPr>
          <w:rFonts w:ascii="Arial" w:hAnsi="Arial"/>
          <w:b/>
          <w:sz w:val="22"/>
          <w:szCs w:val="22"/>
        </w:rPr>
        <w:t>OBUHVAT PLANA</w:t>
      </w:r>
    </w:p>
    <w:p w14:paraId="6762D18B" w14:textId="77777777" w:rsidR="00BE69DE" w:rsidRDefault="00BE69DE" w:rsidP="00BE69DE">
      <w:pPr>
        <w:pStyle w:val="Odlomakpopisa"/>
        <w:ind w:left="0"/>
        <w:jc w:val="center"/>
        <w:rPr>
          <w:b/>
        </w:rPr>
      </w:pPr>
    </w:p>
    <w:p w14:paraId="550DB7BB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4.</w:t>
      </w:r>
    </w:p>
    <w:p w14:paraId="0A4E72E7" w14:textId="73952EFA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Područje Plana odnosi se na zonu između dijela ulice ak. M. </w:t>
      </w:r>
      <w:proofErr w:type="spellStart"/>
      <w:r w:rsidRPr="00BE69DE">
        <w:rPr>
          <w:rFonts w:ascii="Arial" w:hAnsi="Arial"/>
          <w:sz w:val="22"/>
          <w:szCs w:val="22"/>
        </w:rPr>
        <w:t>Maleza</w:t>
      </w:r>
      <w:proofErr w:type="spellEnd"/>
      <w:r w:rsidRPr="00BE69DE">
        <w:rPr>
          <w:rFonts w:ascii="Arial" w:hAnsi="Arial"/>
          <w:sz w:val="22"/>
          <w:szCs w:val="22"/>
        </w:rPr>
        <w:t xml:space="preserve"> i I.G. Kovačića, ulicu bl. kardinala A. Stepinca te </w:t>
      </w:r>
      <w:r w:rsidR="009C070E">
        <w:rPr>
          <w:rFonts w:ascii="Arial" w:hAnsi="Arial"/>
          <w:sz w:val="22"/>
          <w:szCs w:val="22"/>
        </w:rPr>
        <w:t xml:space="preserve">dijela </w:t>
      </w:r>
      <w:r w:rsidRPr="00BE69DE">
        <w:rPr>
          <w:rFonts w:ascii="Arial" w:hAnsi="Arial"/>
          <w:sz w:val="22"/>
          <w:szCs w:val="22"/>
        </w:rPr>
        <w:t>ul. P. Preradovića. Obuhvat plana utvrđen je na kartografskom prikazu koji čini sastavni dio ove Odluke.</w:t>
      </w:r>
    </w:p>
    <w:p w14:paraId="7E9AC5F5" w14:textId="77777777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 Površina obuhvata Plana utvrđena je sa veličinom od cca 11,29 ha.</w:t>
      </w:r>
    </w:p>
    <w:p w14:paraId="12A93122" w14:textId="77777777" w:rsidR="00BE69DE" w:rsidRDefault="00BE69DE" w:rsidP="00BE69DE">
      <w:pPr>
        <w:pStyle w:val="Odlomakpopisa"/>
        <w:ind w:left="284"/>
        <w:jc w:val="both"/>
      </w:pPr>
    </w:p>
    <w:p w14:paraId="7FCE92D4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lastRenderedPageBreak/>
        <w:t>OCJENA STANJA U PROSTORU U OBUHVATU PLANA</w:t>
      </w:r>
    </w:p>
    <w:p w14:paraId="32E3D909" w14:textId="77777777" w:rsidR="00BE69DE" w:rsidRDefault="00BE69DE" w:rsidP="00BE69DE">
      <w:pPr>
        <w:pStyle w:val="Odlomakpopisa"/>
        <w:ind w:left="0"/>
        <w:jc w:val="center"/>
        <w:rPr>
          <w:b/>
        </w:rPr>
      </w:pPr>
    </w:p>
    <w:p w14:paraId="6A09F839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5.</w:t>
      </w:r>
    </w:p>
    <w:p w14:paraId="1B848743" w14:textId="161B2661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Za navedeni obuhvat na snazi je Prostorni plan uređenja Grada Ivanca, Urbanistički plan uređenja Ivanca, te predmetni Detaljni plan uređenja. Sukladno </w:t>
      </w:r>
      <w:r w:rsidR="00403364">
        <w:rPr>
          <w:rFonts w:ascii="Arial" w:hAnsi="Arial"/>
          <w:sz w:val="22"/>
          <w:szCs w:val="22"/>
        </w:rPr>
        <w:t>D</w:t>
      </w:r>
      <w:r w:rsidRPr="00BE69DE">
        <w:rPr>
          <w:rFonts w:ascii="Arial" w:hAnsi="Arial"/>
          <w:sz w:val="22"/>
          <w:szCs w:val="22"/>
        </w:rPr>
        <w:t>etaljnom planu uređenja izgrađena je većina planiranih stambenih objekata te dio planiranih prometnica sa komunalnom infrastrukturom</w:t>
      </w:r>
      <w:r w:rsidR="008267EA">
        <w:rPr>
          <w:rFonts w:ascii="Arial" w:hAnsi="Arial"/>
          <w:sz w:val="22"/>
          <w:szCs w:val="22"/>
        </w:rPr>
        <w:t>, te nema više potrebe držanjem na snazi predmetnog DPU-a</w:t>
      </w:r>
      <w:r w:rsidR="00403364">
        <w:rPr>
          <w:rFonts w:ascii="Arial" w:hAnsi="Arial"/>
          <w:sz w:val="22"/>
          <w:szCs w:val="22"/>
        </w:rPr>
        <w:t xml:space="preserve">, a nastavak gradnje vršiti će se </w:t>
      </w:r>
      <w:r w:rsidR="00403364" w:rsidRPr="00BE69DE">
        <w:rPr>
          <w:rFonts w:ascii="Arial" w:hAnsi="Arial"/>
          <w:sz w:val="22"/>
          <w:szCs w:val="22"/>
        </w:rPr>
        <w:t>prema važećem UPU-u Ivanca</w:t>
      </w:r>
      <w:r w:rsidRPr="00BE69DE">
        <w:rPr>
          <w:rFonts w:ascii="Arial" w:hAnsi="Arial"/>
          <w:sz w:val="22"/>
          <w:szCs w:val="22"/>
        </w:rPr>
        <w:t>.</w:t>
      </w:r>
    </w:p>
    <w:p w14:paraId="4645E60A" w14:textId="77777777" w:rsidR="00BE69DE" w:rsidRDefault="00BE69DE" w:rsidP="00BE69DE">
      <w:pPr>
        <w:ind w:left="2832" w:firstLine="708"/>
        <w:jc w:val="both"/>
        <w:rPr>
          <w:rFonts w:cs="Arial"/>
          <w:b/>
        </w:rPr>
      </w:pPr>
    </w:p>
    <w:p w14:paraId="0296D92A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PLANIRANI ROKOVI</w:t>
      </w:r>
    </w:p>
    <w:p w14:paraId="7015D754" w14:textId="77777777" w:rsidR="00BE69DE" w:rsidRPr="00FF5118" w:rsidRDefault="00BE69DE" w:rsidP="00BE69DE">
      <w:pPr>
        <w:jc w:val="center"/>
        <w:rPr>
          <w:rFonts w:cs="Arial"/>
          <w:b/>
        </w:rPr>
      </w:pPr>
    </w:p>
    <w:p w14:paraId="10F29EC4" w14:textId="77777777" w:rsidR="00BE69DE" w:rsidRPr="00BE69DE" w:rsidRDefault="00BE69DE" w:rsidP="00517F10">
      <w:pPr>
        <w:pStyle w:val="Odlomakpopisa"/>
        <w:ind w:left="0" w:firstLine="708"/>
        <w:jc w:val="center"/>
        <w:rPr>
          <w:rFonts w:ascii="Arial" w:hAnsi="Arial"/>
          <w:sz w:val="22"/>
          <w:szCs w:val="22"/>
        </w:rPr>
      </w:pPr>
      <w:r w:rsidRPr="00517F10">
        <w:rPr>
          <w:rFonts w:ascii="Arial" w:hAnsi="Arial"/>
          <w:b/>
          <w:sz w:val="22"/>
          <w:szCs w:val="22"/>
        </w:rPr>
        <w:t>Članak 6.</w:t>
      </w:r>
    </w:p>
    <w:p w14:paraId="46C18950" w14:textId="1A920D95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Obavijest javnosti i objava javne rasprave o stavljanju Plana izvan snage objavit će se na mrežnim stranicama Grada </w:t>
      </w:r>
      <w:r>
        <w:rPr>
          <w:rFonts w:ascii="Arial" w:hAnsi="Arial"/>
          <w:sz w:val="22"/>
          <w:szCs w:val="22"/>
        </w:rPr>
        <w:t>Ivanca</w:t>
      </w:r>
      <w:r w:rsidRPr="00BE69DE">
        <w:rPr>
          <w:rFonts w:ascii="Arial" w:hAnsi="Arial"/>
          <w:sz w:val="22"/>
          <w:szCs w:val="22"/>
        </w:rPr>
        <w:t xml:space="preserve"> i kroz informacijski sustav putem Zavoda. Obavijest o Izradi odluke dostaviti će se pisanim putem </w:t>
      </w:r>
      <w:r>
        <w:rPr>
          <w:rFonts w:ascii="Arial" w:hAnsi="Arial"/>
          <w:sz w:val="22"/>
          <w:szCs w:val="22"/>
        </w:rPr>
        <w:t xml:space="preserve">Mjesnim odborima </w:t>
      </w:r>
      <w:r w:rsidR="00B90DDB">
        <w:rPr>
          <w:rFonts w:ascii="Arial" w:hAnsi="Arial"/>
          <w:sz w:val="22"/>
          <w:szCs w:val="22"/>
        </w:rPr>
        <w:t>s područja naselja Ivanec</w:t>
      </w:r>
      <w:r w:rsidRPr="00BE69DE">
        <w:rPr>
          <w:rFonts w:ascii="Arial" w:hAnsi="Arial"/>
          <w:sz w:val="22"/>
          <w:szCs w:val="22"/>
        </w:rPr>
        <w:t>.</w:t>
      </w:r>
    </w:p>
    <w:p w14:paraId="09BDA02D" w14:textId="77777777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Rok trajanja javnog uvida i rok za dostavu pisanih očitovanja, mišljenja, prijedloga i primjedaba određuje se u trajanju od 8 dana od dana početka javne rasprave.</w:t>
      </w:r>
    </w:p>
    <w:p w14:paraId="4AB69738" w14:textId="77777777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Nositelj stavljanja Plana izvan snage pripremit će Izvješće o javnoj raspravi u roku od 15 dana od proteka roka za davanje prijedloga i primjedbi.</w:t>
      </w:r>
    </w:p>
    <w:p w14:paraId="59D41403" w14:textId="63DE12BE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Izvješće sa javne rasprave i mišljenja iz članka 101. Zakona, na razmatranje i utvrđivanje dostavit će se Gradonačelniku Grada </w:t>
      </w:r>
      <w:r w:rsidR="009D786F">
        <w:rPr>
          <w:rFonts w:ascii="Arial" w:hAnsi="Arial"/>
          <w:sz w:val="22"/>
          <w:szCs w:val="22"/>
        </w:rPr>
        <w:t>Ivanca</w:t>
      </w:r>
      <w:r w:rsidRPr="00BE69DE">
        <w:rPr>
          <w:rFonts w:ascii="Arial" w:hAnsi="Arial"/>
          <w:sz w:val="22"/>
          <w:szCs w:val="22"/>
        </w:rPr>
        <w:t>.</w:t>
      </w:r>
    </w:p>
    <w:p w14:paraId="38109AAC" w14:textId="683D4527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Prije upućivanja Odluke o stavljanju izvan snage na donošenje Gradskom vijeću Grada </w:t>
      </w:r>
      <w:r>
        <w:rPr>
          <w:rFonts w:ascii="Arial" w:hAnsi="Arial"/>
          <w:sz w:val="22"/>
          <w:szCs w:val="22"/>
        </w:rPr>
        <w:t>Ivanca</w:t>
      </w:r>
      <w:r w:rsidRPr="00BE69DE">
        <w:rPr>
          <w:rFonts w:ascii="Arial" w:hAnsi="Arial"/>
          <w:sz w:val="22"/>
          <w:szCs w:val="22"/>
        </w:rPr>
        <w:t>, nositelj izrade plana dostavit će sudionicima javne rasprave pisane obavijesti sa obrazloženim razlozima neprihvaćanja odnosno djelomično prihvaćanja njihovih primjedbi.</w:t>
      </w:r>
    </w:p>
    <w:p w14:paraId="5D29D387" w14:textId="7DE07631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Ukoliko iz objektivnih razloga dođe do produženja ili smanjenja trajanja pojedinog roka, ostali </w:t>
      </w:r>
      <w:r>
        <w:rPr>
          <w:rFonts w:ascii="Arial" w:hAnsi="Arial"/>
          <w:sz w:val="22"/>
          <w:szCs w:val="22"/>
        </w:rPr>
        <w:t xml:space="preserve"> </w:t>
      </w:r>
      <w:r w:rsidRPr="00BE69DE">
        <w:rPr>
          <w:rFonts w:ascii="Arial" w:hAnsi="Arial"/>
          <w:sz w:val="22"/>
          <w:szCs w:val="22"/>
        </w:rPr>
        <w:t>rokovi se pomiču uz obrazloženje, ali se ne mijenja trajanje pojedine faze, sve sukladno ovom članku Odluke. Rokovi određeni odredbama Zakona, ne mogu se mijenjati.</w:t>
      </w:r>
    </w:p>
    <w:p w14:paraId="28A4BAAF" w14:textId="77777777" w:rsidR="00BE69DE" w:rsidRDefault="00BE69DE" w:rsidP="00BE69DE">
      <w:pPr>
        <w:pStyle w:val="Odlomakpopisa"/>
        <w:jc w:val="both"/>
        <w:rPr>
          <w:rFonts w:cs="Arial"/>
        </w:rPr>
      </w:pPr>
    </w:p>
    <w:p w14:paraId="529AA0D8" w14:textId="77777777" w:rsidR="00BE69DE" w:rsidRDefault="00BE69DE" w:rsidP="00BE69DE">
      <w:pPr>
        <w:pStyle w:val="Odlomakpopisa"/>
        <w:jc w:val="both"/>
        <w:rPr>
          <w:rFonts w:cs="Arial"/>
        </w:rPr>
      </w:pPr>
    </w:p>
    <w:p w14:paraId="11194D12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IZVORI FINANCIRANJA STAVLJANJA PLANA IZVAN SNAGE</w:t>
      </w:r>
    </w:p>
    <w:p w14:paraId="12AE73C6" w14:textId="77777777" w:rsidR="00BE69DE" w:rsidRPr="00090E2D" w:rsidRDefault="00BE69DE" w:rsidP="00BE69DE">
      <w:pPr>
        <w:pStyle w:val="Odlomakpopisa"/>
        <w:jc w:val="center"/>
        <w:rPr>
          <w:rFonts w:cs="Arial"/>
          <w:b/>
        </w:rPr>
      </w:pPr>
    </w:p>
    <w:p w14:paraId="499C2A4D" w14:textId="29E375D3" w:rsidR="00BE69DE" w:rsidRDefault="00BE69DE" w:rsidP="00BE69DE">
      <w:pPr>
        <w:jc w:val="center"/>
        <w:rPr>
          <w:b/>
        </w:rPr>
      </w:pPr>
      <w:r w:rsidRPr="00BE69DE">
        <w:rPr>
          <w:rFonts w:ascii="Arial" w:hAnsi="Arial"/>
          <w:b/>
          <w:sz w:val="22"/>
          <w:szCs w:val="22"/>
        </w:rPr>
        <w:t>Članak 7.</w:t>
      </w:r>
    </w:p>
    <w:p w14:paraId="704ED4C4" w14:textId="0DCE6CF9" w:rsidR="00330549" w:rsidRDefault="00330549" w:rsidP="00330549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Postupak stavljanja izvan snage </w:t>
      </w:r>
      <w:r w:rsidRPr="00BE69DE">
        <w:rPr>
          <w:rFonts w:ascii="Arial" w:hAnsi="Arial"/>
          <w:sz w:val="22"/>
          <w:szCs w:val="22"/>
        </w:rPr>
        <w:t>Detaljnog plana uređenja Zone C-3 u Ivancu</w:t>
      </w:r>
      <w:r>
        <w:rPr>
          <w:rFonts w:ascii="Arial" w:hAnsi="Arial"/>
          <w:sz w:val="22"/>
          <w:szCs w:val="22"/>
        </w:rPr>
        <w:t xml:space="preserve"> financirati će se sredstvima proračuna Grada Ivanca, sukladno članku 63. Zakona o prostornom uređenju.</w:t>
      </w:r>
    </w:p>
    <w:p w14:paraId="7FAEFED7" w14:textId="77777777" w:rsidR="00BE69DE" w:rsidRDefault="00BE69DE" w:rsidP="00BE69DE">
      <w:pPr>
        <w:jc w:val="center"/>
        <w:rPr>
          <w:rFonts w:cs="Arial"/>
          <w:b/>
        </w:rPr>
      </w:pPr>
    </w:p>
    <w:p w14:paraId="7773862C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PRIJELAZNE I ZAVRŠNE ODREDBE</w:t>
      </w:r>
    </w:p>
    <w:p w14:paraId="25EF40CB" w14:textId="77777777" w:rsidR="00BE69DE" w:rsidRPr="00085520" w:rsidRDefault="00BE69DE" w:rsidP="00BE69DE">
      <w:pPr>
        <w:rPr>
          <w:rFonts w:cs="Arial"/>
        </w:rPr>
      </w:pPr>
    </w:p>
    <w:p w14:paraId="66957A7E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8.</w:t>
      </w:r>
    </w:p>
    <w:p w14:paraId="0F89304F" w14:textId="77777777" w:rsidR="00BE69DE" w:rsidRPr="00BE69DE" w:rsidRDefault="00BE69DE" w:rsidP="00BE69DE">
      <w:pPr>
        <w:ind w:firstLine="284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Sukladno članku 112. Zakona i ovoj Odluci, nositelj izrade plana će, nakon objave u Službenom vjesniku Varaždinske županije, ovu odluku dostaviti:</w:t>
      </w:r>
    </w:p>
    <w:p w14:paraId="1D0EF5D5" w14:textId="77777777" w:rsidR="00BE69DE" w:rsidRPr="00BE69DE" w:rsidRDefault="00BE69DE" w:rsidP="00BE69DE">
      <w:pPr>
        <w:ind w:firstLine="284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− Ministarstvu graditeljstva i prostornog uređenja, Zagreb, Ulica Republike Austrije 20</w:t>
      </w:r>
    </w:p>
    <w:p w14:paraId="61F9A985" w14:textId="77777777" w:rsidR="00BE69DE" w:rsidRPr="00BE69DE" w:rsidRDefault="00BE69DE" w:rsidP="00BE69DE">
      <w:pPr>
        <w:ind w:firstLine="284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− Zavodu za prostorno uređenje Varaždinske županije, Varaždin, Mali plac 1a</w:t>
      </w:r>
    </w:p>
    <w:p w14:paraId="41E9358C" w14:textId="08C62BB2" w:rsidR="00BE69DE" w:rsidRPr="00BE69DE" w:rsidRDefault="00BE69DE" w:rsidP="00BE69DE">
      <w:pPr>
        <w:ind w:firstLine="284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− Varaždinskoj županiji, Upravnom odjelu za prostorno uređenje i graditeljstvo, Varaždin, Franjevački trg</w:t>
      </w:r>
      <w:r w:rsidR="00732EF7">
        <w:rPr>
          <w:rFonts w:ascii="Arial" w:hAnsi="Arial"/>
          <w:sz w:val="22"/>
          <w:szCs w:val="22"/>
        </w:rPr>
        <w:t xml:space="preserve"> </w:t>
      </w:r>
      <w:r w:rsidRPr="00BE69DE">
        <w:rPr>
          <w:rFonts w:ascii="Arial" w:hAnsi="Arial"/>
          <w:sz w:val="22"/>
          <w:szCs w:val="22"/>
        </w:rPr>
        <w:t>7.</w:t>
      </w:r>
    </w:p>
    <w:p w14:paraId="2AB81AB8" w14:textId="77777777" w:rsidR="00BE69DE" w:rsidRPr="00085520" w:rsidRDefault="00BE69DE" w:rsidP="00BE69DE"/>
    <w:p w14:paraId="73E5DD08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9.</w:t>
      </w:r>
    </w:p>
    <w:p w14:paraId="5099C5ED" w14:textId="77777777" w:rsidR="00BE69DE" w:rsidRDefault="00BE69DE" w:rsidP="00BE69DE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Ova Odluka stupa na snagu osmog dana od dana objave u Službenom vjesniku Varaždinske županije.</w:t>
      </w:r>
    </w:p>
    <w:p w14:paraId="364AF60E" w14:textId="77777777" w:rsidR="00BE69DE" w:rsidRDefault="00BE69DE" w:rsidP="00BE69DE">
      <w:pPr>
        <w:jc w:val="both"/>
        <w:rPr>
          <w:rFonts w:ascii="Arial" w:hAnsi="Arial"/>
          <w:sz w:val="22"/>
          <w:szCs w:val="22"/>
        </w:rPr>
      </w:pPr>
    </w:p>
    <w:p w14:paraId="74CE5292" w14:textId="77777777" w:rsidR="00BE69DE" w:rsidRDefault="00BE69DE" w:rsidP="00BE69DE">
      <w:pPr>
        <w:widowControl w:val="0"/>
        <w:ind w:left="20" w:firstLine="722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GRADSKOG</w:t>
      </w:r>
    </w:p>
    <w:p w14:paraId="2A42A2ED" w14:textId="77777777" w:rsidR="00BE69DE" w:rsidRDefault="00BE69DE" w:rsidP="00BE69DE">
      <w:pPr>
        <w:widowControl w:val="0"/>
        <w:ind w:left="20" w:firstLine="722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IVANEC:</w:t>
      </w:r>
    </w:p>
    <w:p w14:paraId="5971298D" w14:textId="77777777" w:rsidR="00BE69DE" w:rsidRDefault="00BE69DE" w:rsidP="00BE69DE">
      <w:pPr>
        <w:widowControl w:val="0"/>
        <w:ind w:left="20" w:firstLine="722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Zdenko </w:t>
      </w:r>
      <w:proofErr w:type="spellStart"/>
      <w:r>
        <w:rPr>
          <w:rFonts w:ascii="Arial" w:hAnsi="Arial" w:cs="Arial"/>
          <w:sz w:val="22"/>
          <w:szCs w:val="22"/>
        </w:rPr>
        <w:t>Đuras</w:t>
      </w:r>
      <w:proofErr w:type="spellEnd"/>
    </w:p>
    <w:p w14:paraId="0E1CBFA8" w14:textId="1229C2F3" w:rsidR="00BE69DE" w:rsidRDefault="00BE69DE">
      <w:pPr>
        <w:rPr>
          <w:rFonts w:ascii="Arial" w:hAnsi="Arial"/>
          <w:sz w:val="22"/>
          <w:szCs w:val="22"/>
        </w:rPr>
      </w:pPr>
    </w:p>
    <w:p w14:paraId="681EC838" w14:textId="7FF40C8B" w:rsidR="00BE69DE" w:rsidRDefault="00BE69DE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br w:type="page"/>
      </w:r>
    </w:p>
    <w:p w14:paraId="1CCEC25B" w14:textId="77777777" w:rsidR="003015F1" w:rsidRDefault="00D1779F" w:rsidP="003015F1">
      <w:pPr>
        <w:jc w:val="center"/>
        <w:rPr>
          <w:rFonts w:ascii="Arial" w:eastAsiaTheme="minorHAnsi" w:hAnsi="Arial" w:cs="Arial"/>
          <w:b/>
          <w:bCs/>
          <w:sz w:val="28"/>
          <w:szCs w:val="28"/>
        </w:rPr>
      </w:pPr>
      <w:r>
        <w:rPr>
          <w:rFonts w:ascii="Arial" w:eastAsiaTheme="minorHAnsi" w:hAnsi="Arial" w:cs="Arial"/>
          <w:b/>
          <w:bCs/>
          <w:sz w:val="28"/>
          <w:szCs w:val="28"/>
        </w:rPr>
        <w:lastRenderedPageBreak/>
        <w:t>Obrazloženje uz Prijedlog</w:t>
      </w:r>
    </w:p>
    <w:p w14:paraId="5414BE6A" w14:textId="6C232EFE" w:rsidR="003015F1" w:rsidRPr="003015F1" w:rsidRDefault="00D1779F" w:rsidP="003015F1">
      <w:pPr>
        <w:jc w:val="center"/>
        <w:rPr>
          <w:rFonts w:ascii="Arial" w:eastAsiaTheme="minorHAnsi" w:hAnsi="Arial" w:cs="Arial"/>
          <w:b/>
          <w:bCs/>
          <w:sz w:val="28"/>
          <w:szCs w:val="28"/>
        </w:rPr>
      </w:pPr>
      <w:r>
        <w:rPr>
          <w:rFonts w:ascii="Arial" w:eastAsiaTheme="minorHAnsi" w:hAnsi="Arial" w:cs="Arial"/>
          <w:b/>
          <w:bCs/>
          <w:sz w:val="28"/>
          <w:szCs w:val="28"/>
        </w:rPr>
        <w:t xml:space="preserve">Odluke </w:t>
      </w:r>
      <w:r w:rsidR="003015F1" w:rsidRPr="003015F1">
        <w:rPr>
          <w:rFonts w:ascii="Arial" w:eastAsiaTheme="minorHAnsi" w:hAnsi="Arial" w:cs="Arial"/>
          <w:b/>
          <w:bCs/>
          <w:sz w:val="28"/>
          <w:szCs w:val="28"/>
        </w:rPr>
        <w:t>o pokretanju postupka stavljanja izvan snage</w:t>
      </w:r>
    </w:p>
    <w:p w14:paraId="3AD9DC59" w14:textId="77777777" w:rsidR="003015F1" w:rsidRPr="003015F1" w:rsidRDefault="003015F1" w:rsidP="003015F1">
      <w:pPr>
        <w:jc w:val="center"/>
        <w:rPr>
          <w:rFonts w:ascii="Arial" w:eastAsiaTheme="minorHAnsi" w:hAnsi="Arial" w:cs="Arial"/>
          <w:b/>
          <w:bCs/>
          <w:sz w:val="28"/>
          <w:szCs w:val="28"/>
        </w:rPr>
      </w:pPr>
      <w:r w:rsidRPr="003015F1">
        <w:rPr>
          <w:rFonts w:ascii="Arial" w:eastAsiaTheme="minorHAnsi" w:hAnsi="Arial" w:cs="Arial"/>
          <w:b/>
          <w:bCs/>
          <w:sz w:val="28"/>
          <w:szCs w:val="28"/>
        </w:rPr>
        <w:t>Detaljnog plana uređenja Zone C-3 u Ivancu</w:t>
      </w:r>
    </w:p>
    <w:p w14:paraId="3601B9B4" w14:textId="77777777" w:rsidR="003015F1" w:rsidRDefault="003015F1">
      <w:pPr>
        <w:jc w:val="center"/>
        <w:rPr>
          <w:rFonts w:ascii="Arial" w:eastAsiaTheme="minorHAnsi" w:hAnsi="Arial" w:cs="Arial"/>
          <w:b/>
          <w:bCs/>
          <w:sz w:val="28"/>
          <w:szCs w:val="28"/>
        </w:rPr>
      </w:pPr>
    </w:p>
    <w:p w14:paraId="33059651" w14:textId="77777777" w:rsidR="00A00F81" w:rsidRPr="00A54A2A" w:rsidRDefault="00A00F81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</w:rPr>
      </w:pPr>
    </w:p>
    <w:p w14:paraId="004B0596" w14:textId="099AEDA8" w:rsidR="007906EF" w:rsidRPr="00A54A2A" w:rsidRDefault="00D1779F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</w:rPr>
      </w:pPr>
      <w:r w:rsidRPr="00A54A2A">
        <w:rPr>
          <w:rFonts w:ascii="Arial" w:eastAsiaTheme="minorHAnsi" w:hAnsi="Arial" w:cs="Arial"/>
          <w:sz w:val="22"/>
          <w:szCs w:val="22"/>
        </w:rPr>
        <w:t xml:space="preserve">Gradsko vijeće Grada Ivanca na </w:t>
      </w:r>
      <w:r w:rsidR="007906EF" w:rsidRPr="00A54A2A">
        <w:rPr>
          <w:rFonts w:ascii="Arial" w:eastAsiaTheme="minorHAnsi" w:hAnsi="Arial" w:cs="Arial"/>
          <w:sz w:val="22"/>
          <w:szCs w:val="22"/>
        </w:rPr>
        <w:t>5. sjednici održanoj 14. studenoga 2001. godine donije</w:t>
      </w:r>
      <w:r w:rsidR="009D3E19" w:rsidRPr="00A54A2A">
        <w:rPr>
          <w:rFonts w:ascii="Arial" w:eastAsiaTheme="minorHAnsi" w:hAnsi="Arial" w:cs="Arial"/>
          <w:sz w:val="22"/>
          <w:szCs w:val="22"/>
        </w:rPr>
        <w:t>lo</w:t>
      </w:r>
      <w:r w:rsidR="007906EF" w:rsidRPr="00A54A2A">
        <w:rPr>
          <w:rFonts w:ascii="Arial" w:eastAsiaTheme="minorHAnsi" w:hAnsi="Arial" w:cs="Arial"/>
          <w:sz w:val="22"/>
          <w:szCs w:val="22"/>
        </w:rPr>
        <w:t xml:space="preserve"> je </w:t>
      </w:r>
      <w:r w:rsidR="009D3E19" w:rsidRPr="00A54A2A">
        <w:rPr>
          <w:rFonts w:ascii="Arial" w:eastAsiaTheme="minorHAnsi" w:hAnsi="Arial" w:cs="Arial"/>
          <w:sz w:val="22"/>
          <w:szCs w:val="22"/>
        </w:rPr>
        <w:t>O</w:t>
      </w:r>
      <w:r w:rsidR="007906EF" w:rsidRPr="00A54A2A">
        <w:rPr>
          <w:rFonts w:ascii="Arial" w:eastAsiaTheme="minorHAnsi" w:hAnsi="Arial" w:cs="Arial"/>
          <w:sz w:val="22"/>
          <w:szCs w:val="22"/>
        </w:rPr>
        <w:t xml:space="preserve">dluku o donošenju Detaljnog plana uređenja Zone C-3 u Ivancu, kojim se utvrdila detaljna namjena površina, režimi uređivanja prostora, način opremanja zemljišta komunalnom, prometnom i telekomunikacijskom infrastrukturom, uvjete za izgradnju građevina i poduzimanje drugih aktivnosti na području obuhvata zone C-3 u Ivancu. </w:t>
      </w:r>
    </w:p>
    <w:p w14:paraId="096D1FB1" w14:textId="7A426AB3" w:rsidR="007906EF" w:rsidRPr="00A54A2A" w:rsidRDefault="007906EF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</w:rPr>
      </w:pPr>
      <w:r w:rsidRPr="00A54A2A">
        <w:rPr>
          <w:rFonts w:ascii="Arial" w:eastAsiaTheme="minorHAnsi" w:hAnsi="Arial" w:cs="Arial"/>
          <w:sz w:val="22"/>
          <w:szCs w:val="22"/>
        </w:rPr>
        <w:t>Na temelju predmetnog DPU-a izvršila se parcelacija koridora prometnica, izvršen je otkup najvećeg dijela zemljišta potrebnog za formiranje prometnih i drugih javnih površina, formirana je i izgrađena većina predviđenih građevinskih čestica</w:t>
      </w:r>
      <w:r w:rsidR="005E661F" w:rsidRPr="00A54A2A">
        <w:rPr>
          <w:rFonts w:ascii="Arial" w:eastAsiaTheme="minorHAnsi" w:hAnsi="Arial" w:cs="Arial"/>
          <w:sz w:val="22"/>
          <w:szCs w:val="22"/>
        </w:rPr>
        <w:t>.</w:t>
      </w:r>
    </w:p>
    <w:p w14:paraId="610448A4" w14:textId="6778717C" w:rsidR="005E661F" w:rsidRPr="00A54A2A" w:rsidRDefault="005E661F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</w:rPr>
      </w:pPr>
      <w:r w:rsidRPr="00A54A2A">
        <w:rPr>
          <w:rFonts w:ascii="Arial" w:eastAsiaTheme="minorHAnsi" w:hAnsi="Arial" w:cs="Arial"/>
          <w:sz w:val="22"/>
          <w:szCs w:val="22"/>
        </w:rPr>
        <w:t xml:space="preserve">Izmjenama </w:t>
      </w:r>
      <w:r w:rsidR="008F2A80" w:rsidRPr="00A54A2A">
        <w:rPr>
          <w:rFonts w:ascii="Arial" w:eastAsiaTheme="minorHAnsi" w:hAnsi="Arial" w:cs="Arial"/>
          <w:sz w:val="22"/>
          <w:szCs w:val="22"/>
        </w:rPr>
        <w:t xml:space="preserve">i dopunama </w:t>
      </w:r>
      <w:r w:rsidRPr="00A54A2A">
        <w:rPr>
          <w:rFonts w:ascii="Arial" w:eastAsiaTheme="minorHAnsi" w:hAnsi="Arial" w:cs="Arial"/>
          <w:sz w:val="22"/>
          <w:szCs w:val="22"/>
        </w:rPr>
        <w:t xml:space="preserve">Zakona o prostornom uređenju iz 2017. godine </w:t>
      </w:r>
      <w:r w:rsidR="008F2A80" w:rsidRPr="00A54A2A">
        <w:rPr>
          <w:rFonts w:ascii="Arial" w:eastAsiaTheme="minorHAnsi" w:hAnsi="Arial" w:cs="Arial"/>
          <w:sz w:val="22"/>
          <w:szCs w:val="22"/>
        </w:rPr>
        <w:t>važeći detaljni planovi uređenja, doneseni po prijašnjem Zakonu,</w:t>
      </w:r>
      <w:r w:rsidR="009D3E19" w:rsidRPr="00A54A2A">
        <w:rPr>
          <w:rFonts w:ascii="Arial" w:eastAsiaTheme="minorHAnsi" w:hAnsi="Arial" w:cs="Arial"/>
          <w:sz w:val="22"/>
          <w:szCs w:val="22"/>
        </w:rPr>
        <w:t xml:space="preserve"> smatraju se urbanističkim planovima uređenja.</w:t>
      </w:r>
    </w:p>
    <w:p w14:paraId="12A6901F" w14:textId="7A4B739E" w:rsidR="009D3E19" w:rsidRPr="00A54A2A" w:rsidRDefault="009D3E19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</w:rPr>
      </w:pPr>
      <w:r w:rsidRPr="00A54A2A">
        <w:rPr>
          <w:rFonts w:ascii="Arial" w:eastAsiaTheme="minorHAnsi" w:hAnsi="Arial" w:cs="Arial"/>
          <w:sz w:val="22"/>
          <w:szCs w:val="22"/>
        </w:rPr>
        <w:t>Kako u proteklih više od 20 godina nije bilo nikakvih izmjena DPU-a, većina planiranih sadržaja je realizirana, a odredbe za provođenje, režimi tj. uvjeti za uređenje prostora djelomično više ne zadovoljavaju današnje standarde, niti su usklađen</w:t>
      </w:r>
      <w:r w:rsidR="00832627" w:rsidRPr="00A54A2A">
        <w:rPr>
          <w:rFonts w:ascii="Arial" w:eastAsiaTheme="minorHAnsi" w:hAnsi="Arial" w:cs="Arial"/>
          <w:sz w:val="22"/>
          <w:szCs w:val="22"/>
        </w:rPr>
        <w:t>i</w:t>
      </w:r>
      <w:r w:rsidRPr="00A54A2A">
        <w:rPr>
          <w:rFonts w:ascii="Arial" w:eastAsiaTheme="minorHAnsi" w:hAnsi="Arial" w:cs="Arial"/>
          <w:sz w:val="22"/>
          <w:szCs w:val="22"/>
        </w:rPr>
        <w:t xml:space="preserve"> sa važećim Urbanističkim planom uređenja Ivanca, kao planom više razine, </w:t>
      </w:r>
      <w:r w:rsidR="00832627" w:rsidRPr="00A54A2A">
        <w:rPr>
          <w:rFonts w:ascii="Arial" w:eastAsiaTheme="minorHAnsi" w:hAnsi="Arial" w:cs="Arial"/>
          <w:sz w:val="22"/>
          <w:szCs w:val="22"/>
        </w:rPr>
        <w:t>koji dosta detaljno razrađuje uvjete gradnje, za rješavanje ove situacije na izbor su ostale dvije mogućnosti, pokrenuti izmjene DPU-a ili ga ukinuti, a nastavak aktivnosti provoditi prema UPU-u Ivanca.</w:t>
      </w:r>
    </w:p>
    <w:p w14:paraId="3B9F6BAF" w14:textId="5280C718" w:rsidR="00832627" w:rsidRPr="00A54A2A" w:rsidRDefault="00832627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</w:rPr>
      </w:pPr>
      <w:r w:rsidRPr="00A54A2A">
        <w:rPr>
          <w:rFonts w:ascii="Arial" w:eastAsiaTheme="minorHAnsi" w:hAnsi="Arial" w:cs="Arial"/>
          <w:sz w:val="22"/>
          <w:szCs w:val="22"/>
        </w:rPr>
        <w:t xml:space="preserve">S obzirom na to da je područje naselja Ivanec pokriveno sa Prostornim planom uređenja Ivanca, Urbanističkim planom Ivanca, te </w:t>
      </w:r>
      <w:r w:rsidR="00183BF5" w:rsidRPr="00A54A2A">
        <w:rPr>
          <w:rFonts w:ascii="Arial" w:eastAsiaTheme="minorHAnsi" w:hAnsi="Arial" w:cs="Arial"/>
          <w:sz w:val="22"/>
          <w:szCs w:val="22"/>
        </w:rPr>
        <w:t>3 DPU-a (DPU Zone C-3 u Ivancu, DPU zone užeg centra Ivanca, te DPU površine sportsko-rekreacijske namjene „Jezera“ u Ivancu), prijedlog stručnih službi je da se zbog važnosti prostora središnjeg dijela naselja Ivanec na snazi zadrži DPU zone užeg centra Ivanca, a da se preostala dva DPU-a stave izvan snage, jer je prestala potreba za njima, dok će se nastavak gradnje moći nesmetano provoditi prema odredbama za provođenje UPU-a Ivanca.</w:t>
      </w:r>
    </w:p>
    <w:p w14:paraId="5965E41B" w14:textId="79E547A8" w:rsidR="009A436C" w:rsidRPr="00A54A2A" w:rsidRDefault="00D1779F" w:rsidP="008B4E2B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</w:rPr>
      </w:pPr>
      <w:r w:rsidRPr="00A54A2A">
        <w:rPr>
          <w:rFonts w:ascii="Arial" w:eastAsiaTheme="minorHAnsi" w:hAnsi="Arial" w:cs="Arial"/>
          <w:sz w:val="22"/>
          <w:szCs w:val="22"/>
        </w:rPr>
        <w:t xml:space="preserve">Predlaže se Gradskom vijeću Grada Ivanca donošenje Odluke o </w:t>
      </w:r>
      <w:r w:rsidR="008B4E2B" w:rsidRPr="00A54A2A">
        <w:rPr>
          <w:rFonts w:ascii="Arial" w:eastAsiaTheme="minorHAnsi" w:hAnsi="Arial" w:cs="Arial"/>
          <w:sz w:val="22"/>
          <w:szCs w:val="22"/>
        </w:rPr>
        <w:t>pokretanju postupka stavljanja izvan snage Detaljnog plana uređenja Zone C-3 u Ivancu.</w:t>
      </w:r>
    </w:p>
    <w:p w14:paraId="6BFB0040" w14:textId="77777777" w:rsidR="008B4E2B" w:rsidRDefault="008B4E2B" w:rsidP="008B4E2B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</w:rPr>
      </w:pPr>
    </w:p>
    <w:p w14:paraId="148A73FF" w14:textId="77777777" w:rsidR="00A00F81" w:rsidRDefault="00D1779F">
      <w:pPr>
        <w:spacing w:line="259" w:lineRule="auto"/>
        <w:jc w:val="right"/>
        <w:rPr>
          <w:rFonts w:ascii="Arial" w:eastAsiaTheme="minorHAnsi" w:hAnsi="Arial" w:cs="Arial"/>
          <w:b/>
          <w:bCs/>
          <w:sz w:val="22"/>
          <w:szCs w:val="22"/>
        </w:rPr>
      </w:pPr>
      <w:r>
        <w:rPr>
          <w:rFonts w:ascii="Arial" w:eastAsiaTheme="minorHAnsi" w:hAnsi="Arial" w:cs="Arial"/>
          <w:b/>
          <w:bCs/>
          <w:sz w:val="22"/>
          <w:szCs w:val="22"/>
        </w:rPr>
        <w:t>Upravni odjel za urbanizam,</w:t>
      </w:r>
    </w:p>
    <w:p w14:paraId="1E90C7AB" w14:textId="77777777" w:rsidR="00A00F81" w:rsidRDefault="00D1779F">
      <w:pPr>
        <w:spacing w:line="259" w:lineRule="auto"/>
        <w:jc w:val="right"/>
      </w:pPr>
      <w:r>
        <w:rPr>
          <w:rFonts w:ascii="Arial" w:eastAsiaTheme="minorHAnsi" w:hAnsi="Arial" w:cs="Arial"/>
          <w:b/>
          <w:bCs/>
          <w:sz w:val="22"/>
          <w:szCs w:val="22"/>
        </w:rPr>
        <w:t xml:space="preserve">komunalne poslove i zaštitu okoliša </w:t>
      </w:r>
    </w:p>
    <w:sectPr w:rsidR="00A00F81" w:rsidSect="00BE69DE">
      <w:footerReference w:type="default" r:id="rId9"/>
      <w:footerReference w:type="first" r:id="rId10"/>
      <w:pgSz w:w="11906" w:h="16838"/>
      <w:pgMar w:top="1135" w:right="708" w:bottom="709" w:left="1276" w:header="0" w:footer="592" w:gutter="0"/>
      <w:cols w:space="720"/>
      <w:formProt w:val="0"/>
      <w:titlePg/>
      <w:docGrid w:linePitch="326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B116F" w14:textId="77777777" w:rsidR="002B0A61" w:rsidRDefault="002B0A61">
      <w:r>
        <w:separator/>
      </w:r>
    </w:p>
  </w:endnote>
  <w:endnote w:type="continuationSeparator" w:id="0">
    <w:p w14:paraId="0E07C96F" w14:textId="77777777" w:rsidR="002B0A61" w:rsidRDefault="002B0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Symbol">
    <w:altName w:val="Segoe UI Symbol"/>
    <w:charset w:val="01"/>
    <w:family w:val="auto"/>
    <w:pitch w:val="variable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079004"/>
      <w:docPartObj>
        <w:docPartGallery w:val="Page Numbers (Bottom of Page)"/>
        <w:docPartUnique/>
      </w:docPartObj>
    </w:sdtPr>
    <w:sdtContent>
      <w:p w14:paraId="4EBBDBE1" w14:textId="504AFE6C" w:rsidR="007414E2" w:rsidRDefault="007414E2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8FA155" w14:textId="195E38F5" w:rsidR="00A00F81" w:rsidRDefault="00A00F8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1076924"/>
      <w:docPartObj>
        <w:docPartGallery w:val="Page Numbers (Bottom of Page)"/>
        <w:docPartUnique/>
      </w:docPartObj>
    </w:sdtPr>
    <w:sdtContent>
      <w:p w14:paraId="54F0AC3D" w14:textId="20985A7A" w:rsidR="007414E2" w:rsidRDefault="007414E2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5D78D1" w14:textId="77777777" w:rsidR="007414E2" w:rsidRDefault="007414E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D149F" w14:textId="77777777" w:rsidR="002B0A61" w:rsidRDefault="002B0A61">
      <w:r>
        <w:separator/>
      </w:r>
    </w:p>
  </w:footnote>
  <w:footnote w:type="continuationSeparator" w:id="0">
    <w:p w14:paraId="55771563" w14:textId="77777777" w:rsidR="002B0A61" w:rsidRDefault="002B0A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E2A67"/>
    <w:multiLevelType w:val="multilevel"/>
    <w:tmpl w:val="B980E71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94B3BE2"/>
    <w:multiLevelType w:val="multilevel"/>
    <w:tmpl w:val="27D0C45A"/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9243857"/>
    <w:multiLevelType w:val="hybridMultilevel"/>
    <w:tmpl w:val="E224320A"/>
    <w:lvl w:ilvl="0" w:tplc="119A9C12">
      <w:start w:val="1"/>
      <w:numFmt w:val="decimal"/>
      <w:lvlText w:val="(%1)"/>
      <w:lvlJc w:val="left"/>
      <w:pPr>
        <w:ind w:left="720" w:hanging="360"/>
      </w:pPr>
      <w:rPr>
        <w:rFonts w:eastAsiaTheme="minorHAns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66686D"/>
    <w:multiLevelType w:val="multilevel"/>
    <w:tmpl w:val="B55621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8A4899"/>
    <w:multiLevelType w:val="multilevel"/>
    <w:tmpl w:val="B8B800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66179A"/>
    <w:multiLevelType w:val="multilevel"/>
    <w:tmpl w:val="60A0482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26E1DE8"/>
    <w:multiLevelType w:val="multilevel"/>
    <w:tmpl w:val="042C74F4"/>
    <w:lvl w:ilvl="0">
      <w:start w:val="11"/>
      <w:numFmt w:val="bullet"/>
      <w:lvlText w:val="-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CAA0D79"/>
    <w:multiLevelType w:val="multilevel"/>
    <w:tmpl w:val="128E276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70635839"/>
    <w:multiLevelType w:val="hybridMultilevel"/>
    <w:tmpl w:val="9828CD0C"/>
    <w:lvl w:ilvl="0" w:tplc="BAA26D88">
      <w:start w:val="1"/>
      <w:numFmt w:val="decimal"/>
      <w:lvlText w:val="(%1)"/>
      <w:lvlJc w:val="left"/>
      <w:pPr>
        <w:ind w:left="49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16" w:hanging="360"/>
      </w:pPr>
    </w:lvl>
    <w:lvl w:ilvl="2" w:tplc="041A001B" w:tentative="1">
      <w:start w:val="1"/>
      <w:numFmt w:val="lowerRoman"/>
      <w:lvlText w:val="%3."/>
      <w:lvlJc w:val="right"/>
      <w:pPr>
        <w:ind w:left="1936" w:hanging="180"/>
      </w:pPr>
    </w:lvl>
    <w:lvl w:ilvl="3" w:tplc="041A000F" w:tentative="1">
      <w:start w:val="1"/>
      <w:numFmt w:val="decimal"/>
      <w:lvlText w:val="%4."/>
      <w:lvlJc w:val="left"/>
      <w:pPr>
        <w:ind w:left="2656" w:hanging="360"/>
      </w:pPr>
    </w:lvl>
    <w:lvl w:ilvl="4" w:tplc="041A0019" w:tentative="1">
      <w:start w:val="1"/>
      <w:numFmt w:val="lowerLetter"/>
      <w:lvlText w:val="%5."/>
      <w:lvlJc w:val="left"/>
      <w:pPr>
        <w:ind w:left="3376" w:hanging="360"/>
      </w:pPr>
    </w:lvl>
    <w:lvl w:ilvl="5" w:tplc="041A001B" w:tentative="1">
      <w:start w:val="1"/>
      <w:numFmt w:val="lowerRoman"/>
      <w:lvlText w:val="%6."/>
      <w:lvlJc w:val="right"/>
      <w:pPr>
        <w:ind w:left="4096" w:hanging="180"/>
      </w:pPr>
    </w:lvl>
    <w:lvl w:ilvl="6" w:tplc="041A000F" w:tentative="1">
      <w:start w:val="1"/>
      <w:numFmt w:val="decimal"/>
      <w:lvlText w:val="%7."/>
      <w:lvlJc w:val="left"/>
      <w:pPr>
        <w:ind w:left="4816" w:hanging="360"/>
      </w:pPr>
    </w:lvl>
    <w:lvl w:ilvl="7" w:tplc="041A0019" w:tentative="1">
      <w:start w:val="1"/>
      <w:numFmt w:val="lowerLetter"/>
      <w:lvlText w:val="%8."/>
      <w:lvlJc w:val="left"/>
      <w:pPr>
        <w:ind w:left="5536" w:hanging="360"/>
      </w:pPr>
    </w:lvl>
    <w:lvl w:ilvl="8" w:tplc="041A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9" w15:restartNumberingAfterBreak="0">
    <w:nsid w:val="766A254E"/>
    <w:multiLevelType w:val="hybridMultilevel"/>
    <w:tmpl w:val="207A62B4"/>
    <w:lvl w:ilvl="0" w:tplc="875EA9D6">
      <w:start w:val="1"/>
      <w:numFmt w:val="decimal"/>
      <w:lvlText w:val="(%1)"/>
      <w:lvlJc w:val="left"/>
      <w:pPr>
        <w:ind w:left="21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938" w:hanging="360"/>
      </w:pPr>
    </w:lvl>
    <w:lvl w:ilvl="2" w:tplc="041A001B" w:tentative="1">
      <w:start w:val="1"/>
      <w:numFmt w:val="lowerRoman"/>
      <w:lvlText w:val="%3."/>
      <w:lvlJc w:val="right"/>
      <w:pPr>
        <w:ind w:left="1658" w:hanging="180"/>
      </w:pPr>
    </w:lvl>
    <w:lvl w:ilvl="3" w:tplc="041A000F" w:tentative="1">
      <w:start w:val="1"/>
      <w:numFmt w:val="decimal"/>
      <w:lvlText w:val="%4."/>
      <w:lvlJc w:val="left"/>
      <w:pPr>
        <w:ind w:left="2378" w:hanging="360"/>
      </w:pPr>
    </w:lvl>
    <w:lvl w:ilvl="4" w:tplc="041A0019" w:tentative="1">
      <w:start w:val="1"/>
      <w:numFmt w:val="lowerLetter"/>
      <w:lvlText w:val="%5."/>
      <w:lvlJc w:val="left"/>
      <w:pPr>
        <w:ind w:left="3098" w:hanging="360"/>
      </w:pPr>
    </w:lvl>
    <w:lvl w:ilvl="5" w:tplc="041A001B" w:tentative="1">
      <w:start w:val="1"/>
      <w:numFmt w:val="lowerRoman"/>
      <w:lvlText w:val="%6."/>
      <w:lvlJc w:val="right"/>
      <w:pPr>
        <w:ind w:left="3818" w:hanging="180"/>
      </w:pPr>
    </w:lvl>
    <w:lvl w:ilvl="6" w:tplc="041A000F" w:tentative="1">
      <w:start w:val="1"/>
      <w:numFmt w:val="decimal"/>
      <w:lvlText w:val="%7."/>
      <w:lvlJc w:val="left"/>
      <w:pPr>
        <w:ind w:left="4538" w:hanging="360"/>
      </w:pPr>
    </w:lvl>
    <w:lvl w:ilvl="7" w:tplc="041A0019" w:tentative="1">
      <w:start w:val="1"/>
      <w:numFmt w:val="lowerLetter"/>
      <w:lvlText w:val="%8."/>
      <w:lvlJc w:val="left"/>
      <w:pPr>
        <w:ind w:left="5258" w:hanging="360"/>
      </w:pPr>
    </w:lvl>
    <w:lvl w:ilvl="8" w:tplc="041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79F80460"/>
    <w:multiLevelType w:val="multilevel"/>
    <w:tmpl w:val="30D0093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2C440D"/>
    <w:multiLevelType w:val="multilevel"/>
    <w:tmpl w:val="B8B800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47674027">
    <w:abstractNumId w:val="5"/>
  </w:num>
  <w:num w:numId="2" w16cid:durableId="2087454410">
    <w:abstractNumId w:val="6"/>
  </w:num>
  <w:num w:numId="3" w16cid:durableId="1859808885">
    <w:abstractNumId w:val="3"/>
  </w:num>
  <w:num w:numId="4" w16cid:durableId="1887178786">
    <w:abstractNumId w:val="4"/>
  </w:num>
  <w:num w:numId="5" w16cid:durableId="1566838763">
    <w:abstractNumId w:val="10"/>
  </w:num>
  <w:num w:numId="6" w16cid:durableId="1028408327">
    <w:abstractNumId w:val="7"/>
  </w:num>
  <w:num w:numId="7" w16cid:durableId="2074967709">
    <w:abstractNumId w:val="1"/>
  </w:num>
  <w:num w:numId="8" w16cid:durableId="1820924565">
    <w:abstractNumId w:val="11"/>
  </w:num>
  <w:num w:numId="9" w16cid:durableId="1879707677">
    <w:abstractNumId w:val="0"/>
  </w:num>
  <w:num w:numId="10" w16cid:durableId="153689239">
    <w:abstractNumId w:val="2"/>
  </w:num>
  <w:num w:numId="11" w16cid:durableId="218323476">
    <w:abstractNumId w:val="8"/>
  </w:num>
  <w:num w:numId="12" w16cid:durableId="20244356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F81"/>
    <w:rsid w:val="0005692A"/>
    <w:rsid w:val="0006310D"/>
    <w:rsid w:val="000846AE"/>
    <w:rsid w:val="000C5CD2"/>
    <w:rsid w:val="000E5497"/>
    <w:rsid w:val="00112A1D"/>
    <w:rsid w:val="0013364A"/>
    <w:rsid w:val="00143F15"/>
    <w:rsid w:val="00152B69"/>
    <w:rsid w:val="001631A3"/>
    <w:rsid w:val="00183BF5"/>
    <w:rsid w:val="00185867"/>
    <w:rsid w:val="001A46BC"/>
    <w:rsid w:val="001C33D2"/>
    <w:rsid w:val="001D7E2B"/>
    <w:rsid w:val="002511C5"/>
    <w:rsid w:val="002B0A61"/>
    <w:rsid w:val="003015F1"/>
    <w:rsid w:val="003161D8"/>
    <w:rsid w:val="0032664F"/>
    <w:rsid w:val="00330549"/>
    <w:rsid w:val="003700B2"/>
    <w:rsid w:val="003848F5"/>
    <w:rsid w:val="003B11A2"/>
    <w:rsid w:val="003B5CE6"/>
    <w:rsid w:val="00403364"/>
    <w:rsid w:val="00517F10"/>
    <w:rsid w:val="005A0029"/>
    <w:rsid w:val="005E661F"/>
    <w:rsid w:val="006136B1"/>
    <w:rsid w:val="00633655"/>
    <w:rsid w:val="00647B4E"/>
    <w:rsid w:val="00650066"/>
    <w:rsid w:val="00696A0E"/>
    <w:rsid w:val="006A3899"/>
    <w:rsid w:val="006D60EB"/>
    <w:rsid w:val="00703F5B"/>
    <w:rsid w:val="00715C68"/>
    <w:rsid w:val="00731F2F"/>
    <w:rsid w:val="00732EF7"/>
    <w:rsid w:val="007414E2"/>
    <w:rsid w:val="00766CCD"/>
    <w:rsid w:val="007906EF"/>
    <w:rsid w:val="007E3D32"/>
    <w:rsid w:val="008267EA"/>
    <w:rsid w:val="00832627"/>
    <w:rsid w:val="00846AA3"/>
    <w:rsid w:val="008770D2"/>
    <w:rsid w:val="008A22C5"/>
    <w:rsid w:val="008B4E2B"/>
    <w:rsid w:val="008C15E7"/>
    <w:rsid w:val="008C2FAF"/>
    <w:rsid w:val="008F2A80"/>
    <w:rsid w:val="0091155A"/>
    <w:rsid w:val="009116D1"/>
    <w:rsid w:val="00924494"/>
    <w:rsid w:val="00926F76"/>
    <w:rsid w:val="009655E2"/>
    <w:rsid w:val="00976165"/>
    <w:rsid w:val="009875B4"/>
    <w:rsid w:val="009A1DBD"/>
    <w:rsid w:val="009A1E84"/>
    <w:rsid w:val="009A436C"/>
    <w:rsid w:val="009B30E7"/>
    <w:rsid w:val="009C070E"/>
    <w:rsid w:val="009C3D0F"/>
    <w:rsid w:val="009D3E19"/>
    <w:rsid w:val="009D786F"/>
    <w:rsid w:val="00A00F81"/>
    <w:rsid w:val="00A1347B"/>
    <w:rsid w:val="00A514D4"/>
    <w:rsid w:val="00A54A2A"/>
    <w:rsid w:val="00A644A8"/>
    <w:rsid w:val="00A81325"/>
    <w:rsid w:val="00A83A44"/>
    <w:rsid w:val="00A869B4"/>
    <w:rsid w:val="00AA1645"/>
    <w:rsid w:val="00AA2877"/>
    <w:rsid w:val="00AB1B4A"/>
    <w:rsid w:val="00AB5814"/>
    <w:rsid w:val="00AB601C"/>
    <w:rsid w:val="00AC7F98"/>
    <w:rsid w:val="00B20F10"/>
    <w:rsid w:val="00B43BBF"/>
    <w:rsid w:val="00B90DDB"/>
    <w:rsid w:val="00BA40D3"/>
    <w:rsid w:val="00BB4D2E"/>
    <w:rsid w:val="00BE69DE"/>
    <w:rsid w:val="00BF6099"/>
    <w:rsid w:val="00C167BF"/>
    <w:rsid w:val="00C2096C"/>
    <w:rsid w:val="00C86C85"/>
    <w:rsid w:val="00C90728"/>
    <w:rsid w:val="00C927C1"/>
    <w:rsid w:val="00CC4DF5"/>
    <w:rsid w:val="00D1779F"/>
    <w:rsid w:val="00D27987"/>
    <w:rsid w:val="00D37B83"/>
    <w:rsid w:val="00D41F7C"/>
    <w:rsid w:val="00DD0CAE"/>
    <w:rsid w:val="00DE4379"/>
    <w:rsid w:val="00DF2CFC"/>
    <w:rsid w:val="00E671BA"/>
    <w:rsid w:val="00EA12BD"/>
    <w:rsid w:val="00EC0D47"/>
    <w:rsid w:val="00EC2846"/>
    <w:rsid w:val="00EE337C"/>
    <w:rsid w:val="00EE3B82"/>
    <w:rsid w:val="00EF3382"/>
    <w:rsid w:val="00F13C4E"/>
    <w:rsid w:val="00F23A7E"/>
    <w:rsid w:val="00F70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F6CFD"/>
  <w15:docId w15:val="{94E0991C-7BD1-422B-BA52-9030AE443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EA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Brojstranice">
    <w:name w:val="page number"/>
    <w:basedOn w:val="Zadanifontodlomka"/>
    <w:qFormat/>
    <w:rsid w:val="00A11A05"/>
  </w:style>
  <w:style w:type="character" w:customStyle="1" w:styleId="TekstbaloniaChar">
    <w:name w:val="Tekst balončića Char"/>
    <w:basedOn w:val="Zadanifontodlomka"/>
    <w:link w:val="Tekstbalonia"/>
    <w:qFormat/>
    <w:rsid w:val="009A4E79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Zadanifontodlomka"/>
    <w:qFormat/>
    <w:rsid w:val="00DC5D8E"/>
  </w:style>
  <w:style w:type="character" w:customStyle="1" w:styleId="ZaglavljeChar">
    <w:name w:val="Zaglavlje Char"/>
    <w:basedOn w:val="Zadanifontodlomka"/>
    <w:link w:val="Zaglavlje"/>
    <w:qFormat/>
    <w:rsid w:val="00AE2E72"/>
  </w:style>
  <w:style w:type="character" w:customStyle="1" w:styleId="InternetLink">
    <w:name w:val="Internet Link"/>
    <w:basedOn w:val="Zadanifontodlomka"/>
    <w:uiPriority w:val="99"/>
    <w:semiHidden/>
    <w:unhideWhenUsed/>
    <w:rsid w:val="007851C2"/>
    <w:rPr>
      <w:color w:val="0000FF"/>
      <w:u w:val="single"/>
    </w:rPr>
  </w:style>
  <w:style w:type="character" w:customStyle="1" w:styleId="ListLabel1">
    <w:name w:val="ListLabel 1"/>
    <w:qFormat/>
    <w:rPr>
      <w:rFonts w:ascii="Arial" w:eastAsia="Times New Roman" w:hAnsi="Arial" w:cs="Arial"/>
      <w:sz w:val="22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Times New Roman" w:cs="Arial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Arial" w:eastAsia="Times New Roman" w:hAnsi="Arial" w:cs="Arial"/>
      <w:sz w:val="22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  <w:rPr>
      <w:rFonts w:cs="Arial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Podnoje">
    <w:name w:val="footer"/>
    <w:basedOn w:val="Normal"/>
    <w:link w:val="PodnojeChar"/>
    <w:uiPriority w:val="99"/>
    <w:rsid w:val="00A11A05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link w:val="TekstbaloniaChar"/>
    <w:qFormat/>
    <w:rsid w:val="009A4E79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8F1D4A"/>
    <w:pPr>
      <w:ind w:left="720"/>
      <w:contextualSpacing/>
    </w:pPr>
  </w:style>
  <w:style w:type="paragraph" w:styleId="Zaglavlje">
    <w:name w:val="header"/>
    <w:basedOn w:val="Normal"/>
    <w:link w:val="ZaglavljeChar"/>
    <w:unhideWhenUsed/>
    <w:rsid w:val="00AE2E72"/>
    <w:pPr>
      <w:tabs>
        <w:tab w:val="center" w:pos="4536"/>
        <w:tab w:val="right" w:pos="9072"/>
      </w:tabs>
    </w:pPr>
  </w:style>
  <w:style w:type="paragraph" w:customStyle="1" w:styleId="FrameContents">
    <w:name w:val="Frame Contents"/>
    <w:basedOn w:val="Normal"/>
    <w:qFormat/>
  </w:style>
  <w:style w:type="character" w:customStyle="1" w:styleId="PodnojeChar">
    <w:name w:val="Podnožje Char"/>
    <w:basedOn w:val="Zadanifontodlomka"/>
    <w:link w:val="Podnoje"/>
    <w:uiPriority w:val="99"/>
    <w:rsid w:val="007414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4166F-F2C6-40C9-BC49-706A21291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1067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 Ivanec</dc:creator>
  <dc:description/>
  <cp:lastModifiedBy>Stjepan Vincek</cp:lastModifiedBy>
  <cp:revision>34</cp:revision>
  <cp:lastPrinted>2022-11-14T11:57:00Z</cp:lastPrinted>
  <dcterms:created xsi:type="dcterms:W3CDTF">2023-03-17T20:00:00Z</dcterms:created>
  <dcterms:modified xsi:type="dcterms:W3CDTF">2023-05-05T09:53:00Z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