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0"/>
        <w:gridCol w:w="8944"/>
      </w:tblGrid>
      <w:tr w:rsidR="00B84F9E" w:rsidRPr="003F3A7F" w14:paraId="03D24694" w14:textId="77777777" w:rsidTr="001B7812">
        <w:trPr>
          <w:trHeight w:val="1200"/>
          <w:jc w:val="center"/>
        </w:trPr>
        <w:tc>
          <w:tcPr>
            <w:tcW w:w="12574" w:type="dxa"/>
            <w:gridSpan w:val="2"/>
            <w:vAlign w:val="center"/>
          </w:tcPr>
          <w:p w14:paraId="348595D8" w14:textId="77777777" w:rsidR="00B84F9E" w:rsidRPr="003F3A7F" w:rsidRDefault="00B84F9E" w:rsidP="00221799">
            <w:pPr>
              <w:jc w:val="center"/>
              <w:rPr>
                <w:rFonts w:ascii="Times New Roman" w:hAnsi="Times New Roman" w:cs="Times New Roman"/>
              </w:rPr>
            </w:pPr>
            <w:r w:rsidRPr="003F3A7F">
              <w:rPr>
                <w:rFonts w:ascii="Times New Roman" w:hAnsi="Times New Roman" w:cs="Times New Roman"/>
              </w:rPr>
              <w:t xml:space="preserve">POZIV JAVNOSTI ZA DOSTAVU MIŠLJENJA, PRIMJEDBI I PRIJEDLOGA O </w:t>
            </w:r>
            <w:r w:rsidR="00AF0F7E">
              <w:rPr>
                <w:rFonts w:ascii="Times New Roman" w:hAnsi="Times New Roman" w:cs="Times New Roman"/>
                <w:b/>
                <w:u w:val="single"/>
              </w:rPr>
              <w:t>NACRTU PR</w:t>
            </w:r>
            <w:r w:rsidR="001356B0">
              <w:rPr>
                <w:rFonts w:ascii="Times New Roman" w:hAnsi="Times New Roman" w:cs="Times New Roman"/>
                <w:b/>
                <w:u w:val="single"/>
              </w:rPr>
              <w:t>IJEDLOGA ODLUKE O POREZIMA GRADA IVANCA</w:t>
            </w:r>
            <w:r w:rsidR="003F3A7F" w:rsidRPr="003F3A7F">
              <w:rPr>
                <w:rFonts w:ascii="Times New Roman" w:hAnsi="Times New Roman" w:cs="Times New Roman"/>
                <w:b/>
                <w:u w:val="single"/>
              </w:rPr>
              <w:t xml:space="preserve"> </w:t>
            </w:r>
            <w:r w:rsidRPr="003F3A7F">
              <w:rPr>
                <w:rFonts w:ascii="Times New Roman" w:hAnsi="Times New Roman" w:cs="Times New Roman"/>
              </w:rPr>
              <w:t>PUTEM INTERNETSKOG SAVJETOVANJA SA ZAINTERESIRANOM JAVNOŠĆU</w:t>
            </w:r>
          </w:p>
        </w:tc>
      </w:tr>
      <w:tr w:rsidR="00B84F9E" w:rsidRPr="003F3A7F" w14:paraId="56A55F73" w14:textId="77777777" w:rsidTr="001B7812">
        <w:trPr>
          <w:trHeight w:val="1108"/>
          <w:jc w:val="center"/>
        </w:trPr>
        <w:tc>
          <w:tcPr>
            <w:tcW w:w="3630" w:type="dxa"/>
            <w:vAlign w:val="center"/>
          </w:tcPr>
          <w:p w14:paraId="34EA5DB4"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RAZLOZI DONOŠENJA AKTA</w:t>
            </w:r>
          </w:p>
        </w:tc>
        <w:tc>
          <w:tcPr>
            <w:tcW w:w="8944" w:type="dxa"/>
            <w:vAlign w:val="center"/>
          </w:tcPr>
          <w:p w14:paraId="2967ED17" w14:textId="69ACF771" w:rsidR="00BE63E8" w:rsidRPr="00BE63E8" w:rsidRDefault="00BE63E8" w:rsidP="00BE63E8">
            <w:pPr>
              <w:rPr>
                <w:rFonts w:ascii="Times New Roman" w:hAnsi="Times New Roman" w:cs="Times New Roman"/>
              </w:rPr>
            </w:pPr>
            <w:r w:rsidRPr="00BE63E8">
              <w:rPr>
                <w:rFonts w:ascii="Times New Roman" w:hAnsi="Times New Roman" w:cs="Times New Roman"/>
              </w:rPr>
              <w:t>Pravni temelj za donošenje Odluke o porezima Grada Ivanca sadržan je u odredbi članka 42. stavak 1. i</w:t>
            </w:r>
            <w:r>
              <w:rPr>
                <w:rFonts w:ascii="Times New Roman" w:hAnsi="Times New Roman" w:cs="Times New Roman"/>
              </w:rPr>
              <w:t xml:space="preserve"> </w:t>
            </w:r>
            <w:r w:rsidRPr="00BE63E8">
              <w:rPr>
                <w:rFonts w:ascii="Times New Roman" w:hAnsi="Times New Roman" w:cs="Times New Roman"/>
              </w:rPr>
              <w:t>članka 41. stavak 4., vezano uz članak 20. Zakona o lokalnim porezima („Narodne novine“ broj 115/16, 101/17, 114/22 i 114/23), te odredbi članka 35. stavak 1. Statuta Grada Ivanca („Službeni vjesnik Varaždinske županije“ br. 21/09, 12/13, 23/13 – pročišćeni tekst, 13/18, 08/20, 15/21, 38/21 – pročišćeni tekst i 23/23).</w:t>
            </w:r>
          </w:p>
          <w:p w14:paraId="6981105A"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Odredbom članka 42. stavak 1. Zakona o lokalnim porezima propisano je da predstavničko tijelo jedinice lokalne samouprave svojom odlukom utvrđuje:</w:t>
            </w:r>
          </w:p>
          <w:p w14:paraId="175D4841"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w:t>
            </w:r>
            <w:r w:rsidRPr="00BE63E8">
              <w:rPr>
                <w:rFonts w:ascii="Times New Roman" w:hAnsi="Times New Roman" w:cs="Times New Roman"/>
              </w:rPr>
              <w:tab/>
              <w:t>za potrebe plaćanja poreza na potrošnju, visinu stope poreza na potrošnju i nadležno porezno tijelo za utvrđivanje i naplatu poreza</w:t>
            </w:r>
          </w:p>
          <w:p w14:paraId="70A9AD3E"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w:t>
            </w:r>
            <w:r w:rsidRPr="00BE63E8">
              <w:rPr>
                <w:rFonts w:ascii="Times New Roman" w:hAnsi="Times New Roman" w:cs="Times New Roman"/>
              </w:rPr>
              <w:tab/>
              <w:t>za potrebe plaćanja poreza na kuće za odmor, visinu poreza na kuće za odmor, a ovisno o mjestu, starosti, stanju infrastrukture te drugim okolnostima bitnim za korištenje kuće za odmor, i nadležno porezno tijelo za utvrđivanje i naplatu poreza</w:t>
            </w:r>
          </w:p>
          <w:p w14:paraId="3868163D"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w:t>
            </w:r>
            <w:r w:rsidRPr="00BE63E8">
              <w:rPr>
                <w:rFonts w:ascii="Times New Roman" w:hAnsi="Times New Roman" w:cs="Times New Roman"/>
              </w:rPr>
              <w:tab/>
              <w:t>za potrebe plaćanja poreza na korištenje javnih površina , što se smatra javnom površinom, visinu, način i uvjete plaćanja poreza na korištenje javnih površina, kao i nadležno porezno tijelo za utvrđivanje i naplatu poreza.</w:t>
            </w:r>
          </w:p>
          <w:p w14:paraId="0C29FF99"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Odredba članka 41. stavak 4. Zakona o lokalnim porezima propisuje da porezna uprava može obavljati poslove u vezi s utvrđivanjem i naplatom poreza jedinica lokalne samouprave na temelju odluke predstavničkog tijela, uz prethodnu suglasnost ministra financija (osim poreza na cestovna motorna vozila).</w:t>
            </w:r>
          </w:p>
          <w:p w14:paraId="423F5777" w14:textId="77777777" w:rsidR="00BE63E8" w:rsidRPr="00BE63E8" w:rsidRDefault="00BE63E8" w:rsidP="00BE63E8">
            <w:pPr>
              <w:rPr>
                <w:rFonts w:ascii="Times New Roman" w:hAnsi="Times New Roman" w:cs="Times New Roman"/>
              </w:rPr>
            </w:pPr>
          </w:p>
          <w:p w14:paraId="130B43A1"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lastRenderedPageBreak/>
              <w:t>U članku 20. Zakona o lokalnim porezima propisano je da jedinice lokalne samouprave mogu uvesti sljedeće poreze:</w:t>
            </w:r>
          </w:p>
          <w:p w14:paraId="322E3156"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1.</w:t>
            </w:r>
            <w:r w:rsidRPr="00BE63E8">
              <w:rPr>
                <w:rFonts w:ascii="Times New Roman" w:hAnsi="Times New Roman" w:cs="Times New Roman"/>
              </w:rPr>
              <w:tab/>
              <w:t>porez na potrošnju</w:t>
            </w:r>
          </w:p>
          <w:p w14:paraId="31276C69"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2.</w:t>
            </w:r>
            <w:r w:rsidRPr="00BE63E8">
              <w:rPr>
                <w:rFonts w:ascii="Times New Roman" w:hAnsi="Times New Roman" w:cs="Times New Roman"/>
              </w:rPr>
              <w:tab/>
              <w:t>porez na kuće za odmor</w:t>
            </w:r>
          </w:p>
          <w:p w14:paraId="5076CC83"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3.</w:t>
            </w:r>
            <w:r w:rsidRPr="00BE63E8">
              <w:rPr>
                <w:rFonts w:ascii="Times New Roman" w:hAnsi="Times New Roman" w:cs="Times New Roman"/>
              </w:rPr>
              <w:tab/>
              <w:t>porez na korištenje javnih površina.</w:t>
            </w:r>
          </w:p>
          <w:p w14:paraId="611645B7"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Odredbom članka 35.  stavak 1. Statuta Grada Ivanca („Službeni vjesnik Varaždinske županije“ br. 21/09, 12/13, 23/13 – pročišćeni tekst, 13/18, 08/20, 15/21, 38/21 – pročišćeni tekst i 23/23), utvrđena je nadležnost Gradskog vijeća, između ostaloga i za donošenje odluka i drugih općih akata kojima se uređuju pitanja iz samoupravnog djelokruga Grada.</w:t>
            </w:r>
          </w:p>
          <w:p w14:paraId="1974B780"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Na temelju odredbe članka 20. dosadašnjeg Zakona o lokalnim porezima  („Narodne novine“ broj 115/16, 101/17 i 114/22), bilo je propisano da jedinice lokalne samouprave (gradovi i općine) mogu uvesti slijedeće poreze: prirez porezu na dohodak, porez na potrošnju, porez na kuće za odmor i porez na korištenje javnih površina. Pritom, temeljem odredbe članka 42. navedenog Zakona predstavničko tijelo jedinice lokalne samouprave svojom odlukom utvrđuje visinu i nadležno tijelo naplate „lokalnih“ poreza. </w:t>
            </w:r>
          </w:p>
          <w:p w14:paraId="2DB05722"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Sukladno tome, Gradsko vijeće Grada Ivanca donijelo je Odluku o porezima Grada Ivanca („Narodne novine“ broj 64/17, 2/18, 46/20 i 70/20 i „Službeni vjesnik Varaždinske županije“ broj 34/17, 77/17, 18/20 i 40/20), kojom su utvrđeni gradski porezi te stopa i visina poreza koji pripadaju Gradu Ivancu, sukladno do sada važećim propisima. </w:t>
            </w:r>
          </w:p>
          <w:p w14:paraId="1103DBB2"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Navedenom Odlukom o porezima propisano je da Gradu Ivancu pripadaju slijedeći porezi: </w:t>
            </w:r>
          </w:p>
          <w:p w14:paraId="5C0FECAA"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w:t>
            </w:r>
            <w:r w:rsidRPr="00BE63E8">
              <w:rPr>
                <w:rFonts w:ascii="Times New Roman" w:hAnsi="Times New Roman" w:cs="Times New Roman"/>
              </w:rPr>
              <w:tab/>
              <w:t>prirez porezu na dohodak po stopi od 10%,</w:t>
            </w:r>
          </w:p>
          <w:p w14:paraId="69F72E04"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w:t>
            </w:r>
            <w:r w:rsidRPr="00BE63E8">
              <w:rPr>
                <w:rFonts w:ascii="Times New Roman" w:hAnsi="Times New Roman" w:cs="Times New Roman"/>
              </w:rPr>
              <w:tab/>
              <w:t>porez na potrošnju alkoholnih i bezalkoholnih pića u ugostiteljskim objektima, po stopi od 3%,</w:t>
            </w:r>
          </w:p>
          <w:p w14:paraId="4AAD3DBF"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lastRenderedPageBreak/>
              <w:t>-</w:t>
            </w:r>
            <w:r w:rsidRPr="00BE63E8">
              <w:rPr>
                <w:rFonts w:ascii="Times New Roman" w:hAnsi="Times New Roman" w:cs="Times New Roman"/>
              </w:rPr>
              <w:tab/>
              <w:t>porez na kuće za odmor koji se godišnje plaća u visini od 0,93 eura/m2 (7,00 kuna/m2) po metru kvadratnom korisne površine.</w:t>
            </w:r>
          </w:p>
          <w:p w14:paraId="2E5243EA"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Kako bi se omogućilo povećanje fiskalne autonomije jedinica lokalne samouprave u poreznim prihodima i smanjila ovisnost gradova i općina o prijenosima sredstava od države, Hrvatski sabor je dana 28. rujna 2023. godine donio Zakon o izmjenama i dopuni Zakona o lokalnim porezima („Narodne novine“ broj 114/23) te Zakon o izmjenama i dopunama Zakona o porezu na dohodak („Narodne novine“ broj 114/23). </w:t>
            </w:r>
          </w:p>
          <w:p w14:paraId="2BBB9D68" w14:textId="5D8B842A"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 S obzirom na to da su se porez na dohodak i prirez porezu na dohodak, na temelju dosadašnjih zakonskih odredbi u pravilu utvrđivali i plaćali istovremeno, kako bi se porezni sustav pojednostavio na način da se ova dva javna davanja, koja se ubiru zajedno, ujedine u jedno davanje, navedenim Zakonom o izmjenama i dopuni Zakona o lokalnim porezima ukinut je prirez porezu na dohodak, dok je Zakonom o izmjenama i dopunama Zakona o porezu na dohodak omogućeno jedinicama lokalne samouprave da svojim odlukama samostalno upravljaju visinom stopa godišnjeg poreza na dohodak, kako bi, bez obzira na ukidanje prireza porezu na dohodak, zadržale visinu potrebnih prihoda za ostvarivanje svojih zadaća i nadležnosti, s primjenom od iduće godine.</w:t>
            </w:r>
          </w:p>
          <w:p w14:paraId="579270AD" w14:textId="77777777" w:rsidR="00BE63E8" w:rsidRPr="00BE63E8" w:rsidRDefault="00BE63E8" w:rsidP="00BE63E8">
            <w:pPr>
              <w:rPr>
                <w:rFonts w:ascii="Times New Roman" w:hAnsi="Times New Roman" w:cs="Times New Roman"/>
              </w:rPr>
            </w:pPr>
            <w:r w:rsidRPr="00BE63E8">
              <w:rPr>
                <w:rFonts w:ascii="Times New Roman" w:hAnsi="Times New Roman" w:cs="Times New Roman"/>
              </w:rPr>
              <w:t xml:space="preserve">Budući da je navedenim zakonskim izmjenama, pored ostalog, ukinut prirez porezu na dohodak, sukladno odredbama članka 11. stavaka 1. i 2. Zakona o izmjenama i dopuni Zakona o lokalnim porezima Grad Ivanec, kao jedinica lokalne samouprave, dužan je do 15. prosinca 2023. godine važeću Odluku o porezima Grada Ivanca na odgovarajući način uskladiti s navedenim zakonskim izmjenama, odnosno iz iste brisati dosadašnje odredbe o prirezu porezu na dohodak, s početkom važenja od 1. siječnja 2024. godine. Ovo usklađenje moguće je provesti izmjenom važeće Odluke ili donošenjem nove odluke, pri čemu dosadašnja odnosno još uvijek važeća Odluka o porezima Grada Ivanca ostaje na snazi do 31. prosinca 2023. godine. </w:t>
            </w:r>
          </w:p>
          <w:p w14:paraId="1E19963D" w14:textId="05C77A63" w:rsidR="00B84F9E" w:rsidRPr="003F3A7F" w:rsidRDefault="00BE63E8" w:rsidP="00BE63E8">
            <w:pPr>
              <w:rPr>
                <w:rFonts w:ascii="Times New Roman" w:hAnsi="Times New Roman" w:cs="Times New Roman"/>
              </w:rPr>
            </w:pPr>
            <w:r w:rsidRPr="00BE63E8">
              <w:rPr>
                <w:rFonts w:ascii="Times New Roman" w:hAnsi="Times New Roman" w:cs="Times New Roman"/>
              </w:rPr>
              <w:t xml:space="preserve">Nadalje, u cilju povećanja autonomije lokalnih vlasti i smanjenja ovisnosti jedinica lokalne samouprave o prijenosima središnje države, kako je već naprijed spomenuto, člankom 8. Zakona o izmjenama i dopuni Zakona o lokalnim porezima proširen je raspon u kojem su jedinice lokalne samouprave ovlaštene samostalno propisivati visinu poreza na kuće za odmor po metru </w:t>
            </w:r>
            <w:r w:rsidRPr="00BE63E8">
              <w:rPr>
                <w:rFonts w:ascii="Times New Roman" w:hAnsi="Times New Roman" w:cs="Times New Roman"/>
              </w:rPr>
              <w:lastRenderedPageBreak/>
              <w:t>kvadratnom korisne površine kuće za odmor, tako da mogući raspon za utvrđivanje visine poreza na kuće za odmor sada iznosi od 0,60 do 5,00 eura po metru kvadratnom korisne površine kuće za odmor (za razliku od dosadašnjeg raspona koji je iznosio od 0,66 do 1,99 eura po metru kvadratnom korisne površine). Obzirom da se porez na kuće za odmor  na području Grada Ivanca nije mijenjao od 2001. godine (definiran Odlukom o gradskim porezima, „Službeni vjesnik Varaždinske županije“ br. 20/01), ovim materijalom predlaže se povećanje iznosa poreza na kuće za odmor na 1,50 eura/m2 korisne površine kuće za odmor</w:t>
            </w:r>
            <w:r w:rsidR="000F373A">
              <w:rPr>
                <w:rFonts w:ascii="Times New Roman" w:hAnsi="Times New Roman" w:cs="Times New Roman"/>
              </w:rPr>
              <w:t>.</w:t>
            </w:r>
          </w:p>
        </w:tc>
      </w:tr>
      <w:tr w:rsidR="00B84F9E" w:rsidRPr="003F3A7F" w14:paraId="1BB54A59" w14:textId="77777777" w:rsidTr="001B7812">
        <w:trPr>
          <w:trHeight w:val="1101"/>
          <w:jc w:val="center"/>
        </w:trPr>
        <w:tc>
          <w:tcPr>
            <w:tcW w:w="3630" w:type="dxa"/>
            <w:vAlign w:val="center"/>
          </w:tcPr>
          <w:p w14:paraId="214BAEF2"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lastRenderedPageBreak/>
              <w:t>CILJEVI PROVOĐENJA SAVJETOVANJA</w:t>
            </w:r>
          </w:p>
        </w:tc>
        <w:tc>
          <w:tcPr>
            <w:tcW w:w="8944" w:type="dxa"/>
            <w:vAlign w:val="center"/>
          </w:tcPr>
          <w:p w14:paraId="6F835087" w14:textId="127D480D" w:rsidR="00B84F9E" w:rsidRPr="003F3A7F" w:rsidRDefault="00BB3239" w:rsidP="001356B0">
            <w:pPr>
              <w:rPr>
                <w:rFonts w:ascii="Times New Roman" w:hAnsi="Times New Roman" w:cs="Times New Roman"/>
              </w:rPr>
            </w:pPr>
            <w:r w:rsidRPr="003F3A7F">
              <w:rPr>
                <w:rFonts w:ascii="Times New Roman" w:hAnsi="Times New Roman" w:cs="Times New Roman"/>
              </w:rPr>
              <w:t>Cilj provođenja savjetovanja sa zainteresiranom javnošću je upozna</w:t>
            </w:r>
            <w:r w:rsidR="00AF0F7E">
              <w:rPr>
                <w:rFonts w:ascii="Times New Roman" w:hAnsi="Times New Roman" w:cs="Times New Roman"/>
              </w:rPr>
              <w:t>vanje jav</w:t>
            </w:r>
            <w:r w:rsidR="001356B0">
              <w:rPr>
                <w:rFonts w:ascii="Times New Roman" w:hAnsi="Times New Roman" w:cs="Times New Roman"/>
              </w:rPr>
              <w:t xml:space="preserve">nosti s nacrtom prijedloga Odluke o gradskim porezima, kojom se utvrđuju vrste poreza, stopa i visina poreza, </w:t>
            </w:r>
            <w:r w:rsidR="00BE63E8">
              <w:rPr>
                <w:rFonts w:ascii="Times New Roman" w:hAnsi="Times New Roman" w:cs="Times New Roman"/>
              </w:rPr>
              <w:t>te nadležno tijelo za utvrđivanje, evidentiranje, nadzor, naplatu i ovrhu lokalnih poreza</w:t>
            </w:r>
            <w:r w:rsidR="000F36E4">
              <w:rPr>
                <w:rFonts w:ascii="Times New Roman" w:hAnsi="Times New Roman" w:cs="Times New Roman"/>
              </w:rPr>
              <w:t>,</w:t>
            </w:r>
            <w:r w:rsidR="00F744AC" w:rsidRPr="003F3A7F">
              <w:rPr>
                <w:rFonts w:ascii="Times New Roman" w:hAnsi="Times New Roman" w:cs="Times New Roman"/>
              </w:rPr>
              <w:t xml:space="preserve"> </w:t>
            </w:r>
            <w:r w:rsidRPr="003F3A7F">
              <w:rPr>
                <w:rFonts w:ascii="Times New Roman" w:hAnsi="Times New Roman" w:cs="Times New Roman"/>
              </w:rPr>
              <w:t>te dobivanja mišljenja, primjedbi i prijedloga te eventualno prihvaćanje zakonitih i stručno utemeljenih mišljenja, primjedbi i prijedloga.</w:t>
            </w:r>
          </w:p>
        </w:tc>
      </w:tr>
      <w:tr w:rsidR="00B84F9E" w:rsidRPr="003F3A7F" w14:paraId="4320934A" w14:textId="77777777" w:rsidTr="001B7812">
        <w:trPr>
          <w:trHeight w:val="1257"/>
          <w:jc w:val="center"/>
        </w:trPr>
        <w:tc>
          <w:tcPr>
            <w:tcW w:w="3630" w:type="dxa"/>
            <w:vAlign w:val="center"/>
          </w:tcPr>
          <w:p w14:paraId="14F20330"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ROK ZA PODNOŠENJE MIŠLJENJA, PRIMJEDBI I PRIJEDLOGA</w:t>
            </w:r>
          </w:p>
        </w:tc>
        <w:tc>
          <w:tcPr>
            <w:tcW w:w="8944" w:type="dxa"/>
            <w:vAlign w:val="center"/>
          </w:tcPr>
          <w:p w14:paraId="23710D86" w14:textId="7A50D72A" w:rsidR="00B84F9E" w:rsidRPr="003F3A7F" w:rsidRDefault="001356B0" w:rsidP="001356B0">
            <w:pPr>
              <w:rPr>
                <w:rFonts w:ascii="Times New Roman" w:hAnsi="Times New Roman" w:cs="Times New Roman"/>
              </w:rPr>
            </w:pPr>
            <w:r>
              <w:rPr>
                <w:rFonts w:ascii="Times New Roman" w:hAnsi="Times New Roman" w:cs="Times New Roman"/>
              </w:rPr>
              <w:t xml:space="preserve">Od </w:t>
            </w:r>
            <w:r w:rsidR="00A055E9">
              <w:rPr>
                <w:rFonts w:ascii="Times New Roman" w:hAnsi="Times New Roman" w:cs="Times New Roman"/>
              </w:rPr>
              <w:t>17</w:t>
            </w:r>
            <w:r>
              <w:rPr>
                <w:rFonts w:ascii="Times New Roman" w:hAnsi="Times New Roman" w:cs="Times New Roman"/>
              </w:rPr>
              <w:t xml:space="preserve">. </w:t>
            </w:r>
            <w:r w:rsidR="00A055E9">
              <w:rPr>
                <w:rFonts w:ascii="Times New Roman" w:hAnsi="Times New Roman" w:cs="Times New Roman"/>
              </w:rPr>
              <w:t>listopada</w:t>
            </w:r>
            <w:r>
              <w:rPr>
                <w:rFonts w:ascii="Times New Roman" w:hAnsi="Times New Roman" w:cs="Times New Roman"/>
              </w:rPr>
              <w:t xml:space="preserve"> do 1</w:t>
            </w:r>
            <w:r w:rsidR="00A055E9">
              <w:rPr>
                <w:rFonts w:ascii="Times New Roman" w:hAnsi="Times New Roman" w:cs="Times New Roman"/>
              </w:rPr>
              <w:t>7</w:t>
            </w:r>
            <w:r>
              <w:rPr>
                <w:rFonts w:ascii="Times New Roman" w:hAnsi="Times New Roman" w:cs="Times New Roman"/>
              </w:rPr>
              <w:t xml:space="preserve">. </w:t>
            </w:r>
            <w:r w:rsidR="00A055E9">
              <w:rPr>
                <w:rFonts w:ascii="Times New Roman" w:hAnsi="Times New Roman" w:cs="Times New Roman"/>
              </w:rPr>
              <w:t>studenog</w:t>
            </w:r>
            <w:r>
              <w:rPr>
                <w:rFonts w:ascii="Times New Roman" w:hAnsi="Times New Roman" w:cs="Times New Roman"/>
              </w:rPr>
              <w:t xml:space="preserve"> </w:t>
            </w:r>
            <w:r w:rsidR="00EE28CC">
              <w:rPr>
                <w:rFonts w:ascii="Times New Roman" w:hAnsi="Times New Roman" w:cs="Times New Roman"/>
              </w:rPr>
              <w:t>20</w:t>
            </w:r>
            <w:r w:rsidR="00A055E9">
              <w:rPr>
                <w:rFonts w:ascii="Times New Roman" w:hAnsi="Times New Roman" w:cs="Times New Roman"/>
              </w:rPr>
              <w:t>23</w:t>
            </w:r>
            <w:r w:rsidR="00F744AC" w:rsidRPr="003F3A7F">
              <w:rPr>
                <w:rFonts w:ascii="Times New Roman" w:hAnsi="Times New Roman" w:cs="Times New Roman"/>
              </w:rPr>
              <w:t>. godine</w:t>
            </w:r>
          </w:p>
        </w:tc>
      </w:tr>
      <w:tr w:rsidR="00B84F9E" w:rsidRPr="003F3A7F" w14:paraId="7CD2D273" w14:textId="77777777" w:rsidTr="001B7812">
        <w:trPr>
          <w:trHeight w:val="1144"/>
          <w:jc w:val="center"/>
        </w:trPr>
        <w:tc>
          <w:tcPr>
            <w:tcW w:w="3630" w:type="dxa"/>
            <w:vAlign w:val="center"/>
          </w:tcPr>
          <w:p w14:paraId="53BF4DE8"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ADRESA I NAČIN PODNOŠENJA MIŠLJENJA, PRIMJEDBI I PRIJEDLOGA</w:t>
            </w:r>
          </w:p>
        </w:tc>
        <w:tc>
          <w:tcPr>
            <w:tcW w:w="8944" w:type="dxa"/>
            <w:vAlign w:val="center"/>
          </w:tcPr>
          <w:p w14:paraId="6D1C96D1" w14:textId="1C06F6D9" w:rsidR="00B84F9E" w:rsidRPr="003F3A7F" w:rsidRDefault="00BB3239" w:rsidP="00F722C3">
            <w:pPr>
              <w:rPr>
                <w:rFonts w:ascii="Times New Roman" w:hAnsi="Times New Roman" w:cs="Times New Roman"/>
              </w:rPr>
            </w:pPr>
            <w:r w:rsidRPr="003F3A7F">
              <w:rPr>
                <w:rFonts w:ascii="Times New Roman" w:hAnsi="Times New Roman" w:cs="Times New Roman"/>
              </w:rPr>
              <w:t xml:space="preserve">Pisane primjedbe </w:t>
            </w:r>
            <w:r w:rsidR="0031447E" w:rsidRPr="003F3A7F">
              <w:rPr>
                <w:rFonts w:ascii="Times New Roman" w:hAnsi="Times New Roman" w:cs="Times New Roman"/>
              </w:rPr>
              <w:t>na nacrt</w:t>
            </w:r>
            <w:r w:rsidR="003F3A7F" w:rsidRPr="003F3A7F">
              <w:rPr>
                <w:rFonts w:ascii="Times New Roman" w:hAnsi="Times New Roman" w:cs="Times New Roman"/>
              </w:rPr>
              <w:t xml:space="preserve"> prijedlog Odluke</w:t>
            </w:r>
            <w:r w:rsidR="0031447E" w:rsidRPr="003F3A7F">
              <w:rPr>
                <w:rFonts w:ascii="Times New Roman" w:hAnsi="Times New Roman" w:cs="Times New Roman"/>
              </w:rPr>
              <w:t xml:space="preserve"> godine </w:t>
            </w:r>
            <w:r w:rsidRPr="003F3A7F">
              <w:rPr>
                <w:rFonts w:ascii="Times New Roman" w:hAnsi="Times New Roman" w:cs="Times New Roman"/>
              </w:rPr>
              <w:t xml:space="preserve">dostavljaju se </w:t>
            </w:r>
            <w:r w:rsidR="0031447E" w:rsidRPr="003F3A7F">
              <w:rPr>
                <w:rFonts w:ascii="Times New Roman" w:hAnsi="Times New Roman" w:cs="Times New Roman"/>
              </w:rPr>
              <w:t xml:space="preserve">na </w:t>
            </w:r>
            <w:r w:rsidR="00456CC3" w:rsidRPr="003F3A7F">
              <w:rPr>
                <w:rFonts w:ascii="Times New Roman" w:hAnsi="Times New Roman" w:cs="Times New Roman"/>
              </w:rPr>
              <w:t xml:space="preserve">zadanom </w:t>
            </w:r>
            <w:r w:rsidR="0031447E" w:rsidRPr="003F3A7F">
              <w:rPr>
                <w:rFonts w:ascii="Times New Roman" w:hAnsi="Times New Roman" w:cs="Times New Roman"/>
              </w:rPr>
              <w:t xml:space="preserve">obrascu </w:t>
            </w:r>
            <w:r w:rsidR="00456CC3" w:rsidRPr="003F3A7F">
              <w:rPr>
                <w:rFonts w:ascii="Times New Roman" w:hAnsi="Times New Roman" w:cs="Times New Roman"/>
              </w:rPr>
              <w:t xml:space="preserve">(u prilogu) i to </w:t>
            </w:r>
            <w:r w:rsidRPr="003F3A7F">
              <w:rPr>
                <w:rFonts w:ascii="Times New Roman" w:hAnsi="Times New Roman" w:cs="Times New Roman"/>
              </w:rPr>
              <w:t xml:space="preserve">elektroničkom poštom na e-mail: </w:t>
            </w:r>
            <w:hyperlink r:id="rId4" w:history="1">
              <w:r w:rsidR="00A055E9" w:rsidRPr="00D53F8C">
                <w:rPr>
                  <w:rStyle w:val="Hiperveza"/>
                </w:rPr>
                <w:t>dunja.cerovcec@ivanec.hr</w:t>
              </w:r>
            </w:hyperlink>
            <w:r w:rsidR="00A055E9">
              <w:t xml:space="preserve"> </w:t>
            </w:r>
          </w:p>
        </w:tc>
      </w:tr>
      <w:tr w:rsidR="00B84F9E" w:rsidRPr="003F3A7F" w14:paraId="432DE636" w14:textId="77777777" w:rsidTr="001B7812">
        <w:trPr>
          <w:trHeight w:val="367"/>
          <w:jc w:val="center"/>
        </w:trPr>
        <w:tc>
          <w:tcPr>
            <w:tcW w:w="12574" w:type="dxa"/>
            <w:gridSpan w:val="2"/>
            <w:vAlign w:val="center"/>
          </w:tcPr>
          <w:p w14:paraId="3EE06FCD" w14:textId="12B063FE" w:rsidR="00B84F9E" w:rsidRPr="003F3A7F" w:rsidRDefault="00A055E9" w:rsidP="00F744AC">
            <w:pPr>
              <w:jc w:val="both"/>
              <w:rPr>
                <w:rFonts w:ascii="Times New Roman" w:hAnsi="Times New Roman" w:cs="Times New Roman"/>
              </w:rPr>
            </w:pPr>
            <w:r w:rsidRPr="00C80DBA">
              <w:rPr>
                <w:rFonts w:ascii="Times New Roman" w:hAnsi="Times New Roman" w:cs="Times New Roman"/>
              </w:rPr>
              <w:t>Sukladno odredbama članka 11. Zakona o pravu na pristup informacijama („Narodne novine“ broj 25/13, 85/15 i 69/22) nakon provedenog savjetovanja sa zainteresiranom javnošću, nositelj izrade akta dužan je o prihvaćenim/neprihvaćenim primjedbama i prijedlozima obavijestiti zainteresiranu javnost putem svoje web stranice na kojoj će objaviti Izvješće o provedenom savjetovanju sa zainteresiranom javnošću.</w:t>
            </w:r>
          </w:p>
        </w:tc>
      </w:tr>
    </w:tbl>
    <w:p w14:paraId="52E57E2E" w14:textId="77777777" w:rsidR="00BD0E94" w:rsidRPr="003F3A7F" w:rsidRDefault="00BD0E94">
      <w:pPr>
        <w:rPr>
          <w:rFonts w:ascii="Times New Roman" w:hAnsi="Times New Roman" w:cs="Times New Roman"/>
        </w:rPr>
      </w:pPr>
    </w:p>
    <w:p w14:paraId="1199CD71" w14:textId="77777777" w:rsidR="001B7812" w:rsidRDefault="001B7812">
      <w:pPr>
        <w:rPr>
          <w:rFonts w:ascii="Times New Roman" w:hAnsi="Times New Roman" w:cs="Times New Roman"/>
        </w:rPr>
      </w:pPr>
    </w:p>
    <w:p w14:paraId="0D491C1E" w14:textId="77777777" w:rsidR="00572919" w:rsidRDefault="00572919">
      <w:pPr>
        <w:rPr>
          <w:rFonts w:ascii="Times New Roman" w:hAnsi="Times New Roman" w:cs="Times New Roman"/>
        </w:rPr>
      </w:pPr>
    </w:p>
    <w:p w14:paraId="4D5A3232" w14:textId="77777777" w:rsidR="00572919" w:rsidRDefault="00572919">
      <w:pPr>
        <w:rPr>
          <w:rFonts w:ascii="Times New Roman" w:hAnsi="Times New Roman" w:cs="Times New Roman"/>
        </w:rPr>
      </w:pPr>
    </w:p>
    <w:p w14:paraId="19F3D2BE" w14:textId="77777777" w:rsidR="00572919" w:rsidRDefault="00572919">
      <w:pPr>
        <w:rPr>
          <w:rFonts w:ascii="Times New Roman" w:hAnsi="Times New Roman" w:cs="Times New Roman"/>
        </w:rPr>
      </w:pPr>
    </w:p>
    <w:p w14:paraId="260B5EB1" w14:textId="77777777" w:rsidR="00572919" w:rsidRDefault="00572919">
      <w:pPr>
        <w:rPr>
          <w:rFonts w:ascii="Times New Roman" w:hAnsi="Times New Roman" w:cs="Times New Roman"/>
        </w:rPr>
      </w:pPr>
    </w:p>
    <w:p w14:paraId="329A4B4A" w14:textId="77777777" w:rsidR="00572919" w:rsidRDefault="00572919">
      <w:pPr>
        <w:rPr>
          <w:rFonts w:ascii="Times New Roman" w:hAnsi="Times New Roman" w:cs="Times New Roman"/>
        </w:rPr>
      </w:pPr>
    </w:p>
    <w:p w14:paraId="19FE9DE2" w14:textId="77777777" w:rsidR="00572919" w:rsidRDefault="00572919">
      <w:pPr>
        <w:rPr>
          <w:rFonts w:ascii="Times New Roman" w:hAnsi="Times New Roman" w:cs="Times New Roman"/>
        </w:rPr>
      </w:pPr>
    </w:p>
    <w:p w14:paraId="6A54B236" w14:textId="77777777" w:rsidR="00572919" w:rsidRDefault="00572919">
      <w:pPr>
        <w:rPr>
          <w:rFonts w:ascii="Times New Roman" w:hAnsi="Times New Roman" w:cs="Times New Roman"/>
        </w:rPr>
      </w:pPr>
    </w:p>
    <w:p w14:paraId="630CFF46" w14:textId="77777777" w:rsidR="00572919" w:rsidRDefault="00572919">
      <w:pPr>
        <w:rPr>
          <w:rFonts w:ascii="Times New Roman" w:hAnsi="Times New Roman" w:cs="Times New Roman"/>
        </w:rPr>
      </w:pPr>
    </w:p>
    <w:p w14:paraId="09012E96" w14:textId="77777777" w:rsidR="00572919" w:rsidRDefault="00572919">
      <w:pPr>
        <w:rPr>
          <w:rFonts w:ascii="Times New Roman" w:hAnsi="Times New Roman" w:cs="Times New Roman"/>
        </w:rPr>
      </w:pPr>
    </w:p>
    <w:p w14:paraId="71E97A01" w14:textId="77777777" w:rsidR="00572919" w:rsidRDefault="00572919">
      <w:pPr>
        <w:rPr>
          <w:rFonts w:ascii="Times New Roman" w:hAnsi="Times New Roman" w:cs="Times New Roman"/>
        </w:rPr>
      </w:pPr>
    </w:p>
    <w:p w14:paraId="37F5E42A" w14:textId="77777777" w:rsidR="00572919" w:rsidRDefault="00572919">
      <w:pPr>
        <w:rPr>
          <w:rFonts w:ascii="Times New Roman" w:hAnsi="Times New Roman" w:cs="Times New Roman"/>
        </w:rPr>
      </w:pPr>
    </w:p>
    <w:p w14:paraId="546B22F2" w14:textId="77777777" w:rsidR="001B7812" w:rsidRDefault="001B7812">
      <w:pPr>
        <w:rPr>
          <w:rFonts w:ascii="Times New Roman" w:hAnsi="Times New Roman" w:cs="Times New Roman"/>
        </w:rPr>
      </w:pPr>
    </w:p>
    <w:p w14:paraId="2D286EEA" w14:textId="77777777" w:rsidR="001B7812" w:rsidRPr="003F3A7F" w:rsidRDefault="001B7812" w:rsidP="001B7812">
      <w:pPr>
        <w:jc w:val="center"/>
        <w:rPr>
          <w:rFonts w:ascii="Times New Roman" w:hAnsi="Times New Roman" w:cs="Times New Roman"/>
        </w:rPr>
      </w:pPr>
      <w:r w:rsidRPr="001B7812">
        <w:rPr>
          <w:rFonts w:ascii="Times New Roman" w:hAnsi="Times New Roman" w:cs="Times New Roman"/>
          <w:noProof/>
          <w:lang w:eastAsia="hr-HR"/>
        </w:rPr>
        <w:drawing>
          <wp:inline distT="0" distB="0" distL="0" distR="0" wp14:anchorId="66858881" wp14:editId="2BD2A05F">
            <wp:extent cx="1066800" cy="1063956"/>
            <wp:effectExtent l="19050" t="0" r="0" b="0"/>
            <wp:docPr id="3" name="Slika 1" descr="C:\Users\marinad.GRADIVANEC\Documents\GRAD IVANEC\GRB\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GRADIVANEC\Documents\GRAD IVANEC\GRB\IVANEC-LOGO.jpg"/>
                    <pic:cNvPicPr>
                      <a:picLocks noChangeAspect="1" noChangeArrowheads="1"/>
                    </pic:cNvPicPr>
                  </pic:nvPicPr>
                  <pic:blipFill>
                    <a:blip r:embed="rId5" cstate="print"/>
                    <a:srcRect/>
                    <a:stretch>
                      <a:fillRect/>
                    </a:stretch>
                  </pic:blipFill>
                  <pic:spPr bwMode="auto">
                    <a:xfrm>
                      <a:off x="0" y="0"/>
                      <a:ext cx="1066800" cy="1063956"/>
                    </a:xfrm>
                    <a:prstGeom prst="rect">
                      <a:avLst/>
                    </a:prstGeom>
                    <a:noFill/>
                    <a:ln w="9525">
                      <a:noFill/>
                      <a:miter lim="800000"/>
                      <a:headEnd/>
                      <a:tailEnd/>
                    </a:ln>
                  </pic:spPr>
                </pic:pic>
              </a:graphicData>
            </a:graphic>
          </wp:inline>
        </w:drawing>
      </w:r>
    </w:p>
    <w:p w14:paraId="0333C80D" w14:textId="77777777" w:rsidR="002B351B" w:rsidRPr="003F3A7F" w:rsidRDefault="002B351B" w:rsidP="003F3A7F">
      <w:pPr>
        <w:jc w:val="center"/>
        <w:rPr>
          <w:rFonts w:ascii="Times New Roman" w:hAnsi="Times New Roman" w:cs="Times New Roman"/>
        </w:rPr>
      </w:pPr>
    </w:p>
    <w:p w14:paraId="748E414F" w14:textId="77777777" w:rsidR="002B351B" w:rsidRPr="003F3A7F" w:rsidRDefault="002B351B" w:rsidP="002B351B">
      <w:pPr>
        <w:jc w:val="center"/>
        <w:rPr>
          <w:rFonts w:ascii="Times New Roman" w:hAnsi="Times New Roman" w:cs="Times New Roman"/>
          <w:b/>
          <w:sz w:val="32"/>
          <w:szCs w:val="32"/>
        </w:rPr>
      </w:pPr>
      <w:r w:rsidRPr="003F3A7F">
        <w:rPr>
          <w:rFonts w:ascii="Times New Roman" w:hAnsi="Times New Roman" w:cs="Times New Roman"/>
          <w:b/>
          <w:sz w:val="32"/>
          <w:szCs w:val="32"/>
        </w:rPr>
        <w:t>OB</w:t>
      </w:r>
      <w:r w:rsidR="00EE28CC">
        <w:rPr>
          <w:rFonts w:ascii="Times New Roman" w:hAnsi="Times New Roman" w:cs="Times New Roman"/>
          <w:b/>
          <w:sz w:val="32"/>
          <w:szCs w:val="32"/>
        </w:rPr>
        <w:t>RAZAC ZA KOMENTIRANJE</w:t>
      </w:r>
    </w:p>
    <w:tbl>
      <w:tblPr>
        <w:tblStyle w:val="Reetkatablice"/>
        <w:tblW w:w="14000" w:type="dxa"/>
        <w:tblLook w:val="04A0" w:firstRow="1" w:lastRow="0" w:firstColumn="1" w:lastColumn="0" w:noHBand="0" w:noVBand="1"/>
      </w:tblPr>
      <w:tblGrid>
        <w:gridCol w:w="678"/>
        <w:gridCol w:w="1117"/>
        <w:gridCol w:w="2705"/>
        <w:gridCol w:w="2838"/>
        <w:gridCol w:w="4110"/>
        <w:gridCol w:w="2552"/>
      </w:tblGrid>
      <w:tr w:rsidR="003F3A7F" w:rsidRPr="003F3A7F" w14:paraId="33050EE4" w14:textId="77777777" w:rsidTr="001B7812">
        <w:trPr>
          <w:trHeight w:val="1418"/>
        </w:trPr>
        <w:tc>
          <w:tcPr>
            <w:tcW w:w="678" w:type="dxa"/>
          </w:tcPr>
          <w:p w14:paraId="106C6273" w14:textId="77777777" w:rsidR="003F3A7F" w:rsidRPr="003F3A7F" w:rsidRDefault="003F3A7F" w:rsidP="003F3A7F">
            <w:pPr>
              <w:rPr>
                <w:rFonts w:ascii="Times New Roman" w:hAnsi="Times New Roman" w:cs="Times New Roman"/>
              </w:rPr>
            </w:pPr>
          </w:p>
        </w:tc>
        <w:tc>
          <w:tcPr>
            <w:tcW w:w="1117" w:type="dxa"/>
          </w:tcPr>
          <w:p w14:paraId="29098BCD"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 xml:space="preserve">Datum </w:t>
            </w:r>
          </w:p>
        </w:tc>
        <w:tc>
          <w:tcPr>
            <w:tcW w:w="2705" w:type="dxa"/>
          </w:tcPr>
          <w:p w14:paraId="6E450FE3"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Citirani di</w:t>
            </w:r>
            <w:r>
              <w:rPr>
                <w:rFonts w:ascii="Times New Roman" w:hAnsi="Times New Roman" w:cs="Times New Roman"/>
              </w:rPr>
              <w:t>o teksta (molimo obavezno, navesti</w:t>
            </w:r>
            <w:r w:rsidRPr="003F3A7F">
              <w:rPr>
                <w:rFonts w:ascii="Times New Roman" w:hAnsi="Times New Roman" w:cs="Times New Roman"/>
              </w:rPr>
              <w:t xml:space="preserve"> članak Odluke) </w:t>
            </w:r>
          </w:p>
        </w:tc>
        <w:tc>
          <w:tcPr>
            <w:tcW w:w="2838" w:type="dxa"/>
          </w:tcPr>
          <w:p w14:paraId="6A7F5E30"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Prijedlog izmjene</w:t>
            </w:r>
          </w:p>
        </w:tc>
        <w:tc>
          <w:tcPr>
            <w:tcW w:w="4110" w:type="dxa"/>
          </w:tcPr>
          <w:p w14:paraId="334D58D7"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Obrazloženje</w:t>
            </w:r>
          </w:p>
        </w:tc>
        <w:tc>
          <w:tcPr>
            <w:tcW w:w="2552" w:type="dxa"/>
          </w:tcPr>
          <w:p w14:paraId="3955FE2E"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Ostale napomene</w:t>
            </w:r>
          </w:p>
        </w:tc>
      </w:tr>
      <w:tr w:rsidR="003F3A7F" w:rsidRPr="003F3A7F" w14:paraId="67B4475C" w14:textId="77777777" w:rsidTr="001B7812">
        <w:trPr>
          <w:trHeight w:val="321"/>
        </w:trPr>
        <w:tc>
          <w:tcPr>
            <w:tcW w:w="678" w:type="dxa"/>
          </w:tcPr>
          <w:p w14:paraId="6419150C"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1.</w:t>
            </w:r>
          </w:p>
        </w:tc>
        <w:tc>
          <w:tcPr>
            <w:tcW w:w="1117" w:type="dxa"/>
          </w:tcPr>
          <w:p w14:paraId="31494D7E" w14:textId="77777777" w:rsidR="003F3A7F" w:rsidRPr="003F3A7F" w:rsidRDefault="003F3A7F" w:rsidP="003F3A7F">
            <w:pPr>
              <w:rPr>
                <w:rFonts w:ascii="Times New Roman" w:hAnsi="Times New Roman" w:cs="Times New Roman"/>
              </w:rPr>
            </w:pPr>
          </w:p>
        </w:tc>
        <w:tc>
          <w:tcPr>
            <w:tcW w:w="2705" w:type="dxa"/>
          </w:tcPr>
          <w:p w14:paraId="642EB655" w14:textId="77777777" w:rsidR="003F3A7F" w:rsidRPr="003F3A7F" w:rsidRDefault="003F3A7F" w:rsidP="003F3A7F">
            <w:pPr>
              <w:rPr>
                <w:rFonts w:ascii="Times New Roman" w:hAnsi="Times New Roman" w:cs="Times New Roman"/>
              </w:rPr>
            </w:pPr>
          </w:p>
        </w:tc>
        <w:tc>
          <w:tcPr>
            <w:tcW w:w="2838" w:type="dxa"/>
          </w:tcPr>
          <w:p w14:paraId="6F15D9BB" w14:textId="77777777" w:rsidR="003F3A7F" w:rsidRPr="003F3A7F" w:rsidRDefault="003F3A7F" w:rsidP="003F3A7F">
            <w:pPr>
              <w:rPr>
                <w:rFonts w:ascii="Times New Roman" w:hAnsi="Times New Roman" w:cs="Times New Roman"/>
              </w:rPr>
            </w:pPr>
          </w:p>
        </w:tc>
        <w:tc>
          <w:tcPr>
            <w:tcW w:w="4110" w:type="dxa"/>
          </w:tcPr>
          <w:p w14:paraId="344EC8A1" w14:textId="77777777" w:rsidR="003F3A7F" w:rsidRPr="003F3A7F" w:rsidRDefault="003F3A7F" w:rsidP="003F3A7F">
            <w:pPr>
              <w:rPr>
                <w:rFonts w:ascii="Times New Roman" w:hAnsi="Times New Roman" w:cs="Times New Roman"/>
              </w:rPr>
            </w:pPr>
          </w:p>
        </w:tc>
        <w:tc>
          <w:tcPr>
            <w:tcW w:w="2552" w:type="dxa"/>
          </w:tcPr>
          <w:p w14:paraId="4D739F54" w14:textId="77777777" w:rsidR="003F3A7F" w:rsidRPr="003F3A7F" w:rsidRDefault="003F3A7F" w:rsidP="003F3A7F">
            <w:pPr>
              <w:rPr>
                <w:rFonts w:ascii="Times New Roman" w:hAnsi="Times New Roman" w:cs="Times New Roman"/>
              </w:rPr>
            </w:pPr>
          </w:p>
        </w:tc>
      </w:tr>
      <w:tr w:rsidR="003F3A7F" w:rsidRPr="003F3A7F" w14:paraId="016AD358" w14:textId="77777777" w:rsidTr="001B7812">
        <w:trPr>
          <w:trHeight w:val="307"/>
        </w:trPr>
        <w:tc>
          <w:tcPr>
            <w:tcW w:w="678" w:type="dxa"/>
          </w:tcPr>
          <w:p w14:paraId="0A227934"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2.</w:t>
            </w:r>
          </w:p>
        </w:tc>
        <w:tc>
          <w:tcPr>
            <w:tcW w:w="1117" w:type="dxa"/>
          </w:tcPr>
          <w:p w14:paraId="67907F21" w14:textId="77777777" w:rsidR="003F3A7F" w:rsidRPr="003F3A7F" w:rsidRDefault="003F3A7F" w:rsidP="003F3A7F">
            <w:pPr>
              <w:rPr>
                <w:rFonts w:ascii="Times New Roman" w:hAnsi="Times New Roman" w:cs="Times New Roman"/>
              </w:rPr>
            </w:pPr>
          </w:p>
        </w:tc>
        <w:tc>
          <w:tcPr>
            <w:tcW w:w="2705" w:type="dxa"/>
          </w:tcPr>
          <w:p w14:paraId="2D69FA84" w14:textId="77777777" w:rsidR="003F3A7F" w:rsidRPr="003F3A7F" w:rsidRDefault="003F3A7F" w:rsidP="003F3A7F">
            <w:pPr>
              <w:rPr>
                <w:rFonts w:ascii="Times New Roman" w:hAnsi="Times New Roman" w:cs="Times New Roman"/>
              </w:rPr>
            </w:pPr>
          </w:p>
        </w:tc>
        <w:tc>
          <w:tcPr>
            <w:tcW w:w="2838" w:type="dxa"/>
          </w:tcPr>
          <w:p w14:paraId="55BC7883" w14:textId="77777777" w:rsidR="003F3A7F" w:rsidRPr="003F3A7F" w:rsidRDefault="003F3A7F" w:rsidP="003F3A7F">
            <w:pPr>
              <w:rPr>
                <w:rFonts w:ascii="Times New Roman" w:hAnsi="Times New Roman" w:cs="Times New Roman"/>
              </w:rPr>
            </w:pPr>
          </w:p>
        </w:tc>
        <w:tc>
          <w:tcPr>
            <w:tcW w:w="4110" w:type="dxa"/>
          </w:tcPr>
          <w:p w14:paraId="3A681C45" w14:textId="77777777" w:rsidR="003F3A7F" w:rsidRPr="003F3A7F" w:rsidRDefault="003F3A7F" w:rsidP="003F3A7F">
            <w:pPr>
              <w:rPr>
                <w:rFonts w:ascii="Times New Roman" w:hAnsi="Times New Roman" w:cs="Times New Roman"/>
              </w:rPr>
            </w:pPr>
          </w:p>
        </w:tc>
        <w:tc>
          <w:tcPr>
            <w:tcW w:w="2552" w:type="dxa"/>
          </w:tcPr>
          <w:p w14:paraId="4711655F" w14:textId="77777777" w:rsidR="003F3A7F" w:rsidRPr="003F3A7F" w:rsidRDefault="003F3A7F" w:rsidP="003F3A7F">
            <w:pPr>
              <w:rPr>
                <w:rFonts w:ascii="Times New Roman" w:hAnsi="Times New Roman" w:cs="Times New Roman"/>
              </w:rPr>
            </w:pPr>
          </w:p>
        </w:tc>
      </w:tr>
      <w:tr w:rsidR="003F3A7F" w:rsidRPr="003F3A7F" w14:paraId="6F68A79F" w14:textId="77777777" w:rsidTr="001B7812">
        <w:trPr>
          <w:trHeight w:val="307"/>
        </w:trPr>
        <w:tc>
          <w:tcPr>
            <w:tcW w:w="678" w:type="dxa"/>
          </w:tcPr>
          <w:p w14:paraId="7A3A84AC"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3.</w:t>
            </w:r>
          </w:p>
        </w:tc>
        <w:tc>
          <w:tcPr>
            <w:tcW w:w="1117" w:type="dxa"/>
          </w:tcPr>
          <w:p w14:paraId="3200B30C" w14:textId="77777777" w:rsidR="003F3A7F" w:rsidRPr="003F3A7F" w:rsidRDefault="003F3A7F" w:rsidP="003F3A7F">
            <w:pPr>
              <w:rPr>
                <w:rFonts w:ascii="Times New Roman" w:hAnsi="Times New Roman" w:cs="Times New Roman"/>
              </w:rPr>
            </w:pPr>
          </w:p>
        </w:tc>
        <w:tc>
          <w:tcPr>
            <w:tcW w:w="2705" w:type="dxa"/>
          </w:tcPr>
          <w:p w14:paraId="5FE19C6A" w14:textId="77777777" w:rsidR="003F3A7F" w:rsidRPr="003F3A7F" w:rsidRDefault="003F3A7F" w:rsidP="003F3A7F">
            <w:pPr>
              <w:rPr>
                <w:rFonts w:ascii="Times New Roman" w:hAnsi="Times New Roman" w:cs="Times New Roman"/>
              </w:rPr>
            </w:pPr>
          </w:p>
        </w:tc>
        <w:tc>
          <w:tcPr>
            <w:tcW w:w="2838" w:type="dxa"/>
          </w:tcPr>
          <w:p w14:paraId="6D3A6C2A" w14:textId="77777777" w:rsidR="003F3A7F" w:rsidRPr="003F3A7F" w:rsidRDefault="003F3A7F" w:rsidP="003F3A7F">
            <w:pPr>
              <w:rPr>
                <w:rFonts w:ascii="Times New Roman" w:hAnsi="Times New Roman" w:cs="Times New Roman"/>
              </w:rPr>
            </w:pPr>
          </w:p>
        </w:tc>
        <w:tc>
          <w:tcPr>
            <w:tcW w:w="4110" w:type="dxa"/>
          </w:tcPr>
          <w:p w14:paraId="75548968" w14:textId="77777777" w:rsidR="003F3A7F" w:rsidRPr="003F3A7F" w:rsidRDefault="003F3A7F" w:rsidP="003F3A7F">
            <w:pPr>
              <w:rPr>
                <w:rFonts w:ascii="Times New Roman" w:hAnsi="Times New Roman" w:cs="Times New Roman"/>
              </w:rPr>
            </w:pPr>
          </w:p>
        </w:tc>
        <w:tc>
          <w:tcPr>
            <w:tcW w:w="2552" w:type="dxa"/>
          </w:tcPr>
          <w:p w14:paraId="47284840" w14:textId="77777777" w:rsidR="003F3A7F" w:rsidRPr="003F3A7F" w:rsidRDefault="003F3A7F" w:rsidP="003F3A7F">
            <w:pPr>
              <w:rPr>
                <w:rFonts w:ascii="Times New Roman" w:hAnsi="Times New Roman" w:cs="Times New Roman"/>
              </w:rPr>
            </w:pPr>
          </w:p>
        </w:tc>
      </w:tr>
      <w:tr w:rsidR="003F3A7F" w:rsidRPr="003F3A7F" w14:paraId="4F6A4A44" w14:textId="77777777" w:rsidTr="001B7812">
        <w:trPr>
          <w:trHeight w:val="307"/>
        </w:trPr>
        <w:tc>
          <w:tcPr>
            <w:tcW w:w="678" w:type="dxa"/>
          </w:tcPr>
          <w:p w14:paraId="1CF37FF1" w14:textId="77777777" w:rsidR="003F3A7F" w:rsidRPr="003F3A7F" w:rsidRDefault="003F3A7F" w:rsidP="003F3A7F">
            <w:pPr>
              <w:rPr>
                <w:rFonts w:ascii="Times New Roman" w:hAnsi="Times New Roman" w:cs="Times New Roman"/>
              </w:rPr>
            </w:pPr>
          </w:p>
        </w:tc>
        <w:tc>
          <w:tcPr>
            <w:tcW w:w="1117" w:type="dxa"/>
          </w:tcPr>
          <w:p w14:paraId="447FF9B9" w14:textId="77777777" w:rsidR="003F3A7F" w:rsidRPr="003F3A7F" w:rsidRDefault="003F3A7F" w:rsidP="003F3A7F">
            <w:pPr>
              <w:rPr>
                <w:rFonts w:ascii="Times New Roman" w:hAnsi="Times New Roman" w:cs="Times New Roman"/>
              </w:rPr>
            </w:pPr>
          </w:p>
        </w:tc>
        <w:tc>
          <w:tcPr>
            <w:tcW w:w="2705" w:type="dxa"/>
          </w:tcPr>
          <w:p w14:paraId="7C9BF862" w14:textId="77777777" w:rsidR="003F3A7F" w:rsidRPr="003F3A7F" w:rsidRDefault="003F3A7F" w:rsidP="003F3A7F">
            <w:pPr>
              <w:rPr>
                <w:rFonts w:ascii="Times New Roman" w:hAnsi="Times New Roman" w:cs="Times New Roman"/>
              </w:rPr>
            </w:pPr>
          </w:p>
        </w:tc>
        <w:tc>
          <w:tcPr>
            <w:tcW w:w="2838" w:type="dxa"/>
          </w:tcPr>
          <w:p w14:paraId="0694C110" w14:textId="77777777" w:rsidR="003F3A7F" w:rsidRPr="003F3A7F" w:rsidRDefault="003F3A7F" w:rsidP="003F3A7F">
            <w:pPr>
              <w:rPr>
                <w:rFonts w:ascii="Times New Roman" w:hAnsi="Times New Roman" w:cs="Times New Roman"/>
              </w:rPr>
            </w:pPr>
          </w:p>
        </w:tc>
        <w:tc>
          <w:tcPr>
            <w:tcW w:w="4110" w:type="dxa"/>
          </w:tcPr>
          <w:p w14:paraId="13BF473A" w14:textId="77777777" w:rsidR="003F3A7F" w:rsidRPr="003F3A7F" w:rsidRDefault="003F3A7F" w:rsidP="003F3A7F">
            <w:pPr>
              <w:rPr>
                <w:rFonts w:ascii="Times New Roman" w:hAnsi="Times New Roman" w:cs="Times New Roman"/>
              </w:rPr>
            </w:pPr>
          </w:p>
        </w:tc>
        <w:tc>
          <w:tcPr>
            <w:tcW w:w="2552" w:type="dxa"/>
          </w:tcPr>
          <w:p w14:paraId="2C1C2954" w14:textId="77777777" w:rsidR="003F3A7F" w:rsidRPr="003F3A7F" w:rsidRDefault="003F3A7F" w:rsidP="003F3A7F">
            <w:pPr>
              <w:rPr>
                <w:rFonts w:ascii="Times New Roman" w:hAnsi="Times New Roman" w:cs="Times New Roman"/>
              </w:rPr>
            </w:pPr>
          </w:p>
        </w:tc>
      </w:tr>
    </w:tbl>
    <w:p w14:paraId="3BAFE8DF" w14:textId="77777777" w:rsidR="002B351B" w:rsidRPr="003F3A7F" w:rsidRDefault="002B351B">
      <w:pPr>
        <w:rPr>
          <w:rFonts w:ascii="Times New Roman" w:hAnsi="Times New Roman" w:cs="Times New Roman"/>
        </w:rPr>
      </w:pPr>
    </w:p>
    <w:sectPr w:rsidR="002B351B" w:rsidRPr="003F3A7F" w:rsidSect="003F3A7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9E"/>
    <w:rsid w:val="00025550"/>
    <w:rsid w:val="000C0D74"/>
    <w:rsid w:val="000F36E4"/>
    <w:rsid w:val="000F373A"/>
    <w:rsid w:val="001356B0"/>
    <w:rsid w:val="001B7812"/>
    <w:rsid w:val="001C4878"/>
    <w:rsid w:val="00221799"/>
    <w:rsid w:val="002B351B"/>
    <w:rsid w:val="002C17B8"/>
    <w:rsid w:val="0031447E"/>
    <w:rsid w:val="003F3A7F"/>
    <w:rsid w:val="00456CC3"/>
    <w:rsid w:val="00524E57"/>
    <w:rsid w:val="00572919"/>
    <w:rsid w:val="005C294E"/>
    <w:rsid w:val="005F4AC6"/>
    <w:rsid w:val="006405C8"/>
    <w:rsid w:val="007D5733"/>
    <w:rsid w:val="00964448"/>
    <w:rsid w:val="00997C87"/>
    <w:rsid w:val="00A055E9"/>
    <w:rsid w:val="00AF0F7E"/>
    <w:rsid w:val="00AF6E9B"/>
    <w:rsid w:val="00B84F9E"/>
    <w:rsid w:val="00BB3239"/>
    <w:rsid w:val="00BD0E94"/>
    <w:rsid w:val="00BE63E8"/>
    <w:rsid w:val="00E55F63"/>
    <w:rsid w:val="00E61660"/>
    <w:rsid w:val="00E7659F"/>
    <w:rsid w:val="00EE28CC"/>
    <w:rsid w:val="00F10417"/>
    <w:rsid w:val="00F21A31"/>
    <w:rsid w:val="00F605D9"/>
    <w:rsid w:val="00F722C3"/>
    <w:rsid w:val="00F744AC"/>
    <w:rsid w:val="00FA4611"/>
    <w:rsid w:val="00FC067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72019"/>
  <w15:docId w15:val="{980B96C6-2831-48AB-8323-575614AB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B3239"/>
    <w:rPr>
      <w:color w:val="0000FF" w:themeColor="hyperlink"/>
      <w:u w:val="single"/>
    </w:rPr>
  </w:style>
  <w:style w:type="table" w:styleId="Reetkatablice">
    <w:name w:val="Table Grid"/>
    <w:basedOn w:val="Obinatablica"/>
    <w:uiPriority w:val="39"/>
    <w:rsid w:val="002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F3A7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F3A7F"/>
    <w:rPr>
      <w:rFonts w:ascii="Tahoma" w:hAnsi="Tahoma" w:cs="Tahoma"/>
      <w:sz w:val="16"/>
      <w:szCs w:val="16"/>
    </w:rPr>
  </w:style>
  <w:style w:type="character" w:styleId="Nerijeenospominjanje">
    <w:name w:val="Unresolved Mention"/>
    <w:basedOn w:val="Zadanifontodlomka"/>
    <w:uiPriority w:val="99"/>
    <w:semiHidden/>
    <w:unhideWhenUsed/>
    <w:rsid w:val="00A055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87722">
      <w:bodyDiv w:val="1"/>
      <w:marLeft w:val="0"/>
      <w:marRight w:val="0"/>
      <w:marTop w:val="0"/>
      <w:marBottom w:val="0"/>
      <w:divBdr>
        <w:top w:val="none" w:sz="0" w:space="0" w:color="auto"/>
        <w:left w:val="none" w:sz="0" w:space="0" w:color="auto"/>
        <w:bottom w:val="none" w:sz="0" w:space="0" w:color="auto"/>
        <w:right w:val="none" w:sz="0" w:space="0" w:color="auto"/>
      </w:divBdr>
      <w:divsChild>
        <w:div w:id="198746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dunja.cerovcec@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1143</Words>
  <Characters>6518</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Dijana Radotović</dc:creator>
  <cp:lastModifiedBy>Dunja Cerovcec</cp:lastModifiedBy>
  <cp:revision>9</cp:revision>
  <cp:lastPrinted>2023-10-17T09:46:00Z</cp:lastPrinted>
  <dcterms:created xsi:type="dcterms:W3CDTF">2017-06-01T10:44:00Z</dcterms:created>
  <dcterms:modified xsi:type="dcterms:W3CDTF">2023-10-17T10:29:00Z</dcterms:modified>
</cp:coreProperties>
</file>