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55DC9E1" w14:textId="77777777" w:rsidR="00AD21C6" w:rsidRDefault="00AD21C6" w:rsidP="00AD21C6">
      <w:pPr>
        <w:jc w:val="center"/>
        <w:rPr>
          <w:rFonts w:cs="Arial"/>
          <w:b/>
          <w:szCs w:val="22"/>
        </w:rPr>
      </w:pPr>
      <w:r>
        <w:rPr>
          <w:rFonts w:cs="Arial"/>
          <w:b/>
          <w:szCs w:val="22"/>
        </w:rPr>
        <w:t>OBRAZLOŽENJE</w:t>
      </w:r>
    </w:p>
    <w:p w14:paraId="6A1691A1" w14:textId="2C077628" w:rsidR="00AD21C6" w:rsidRPr="00AD21C6" w:rsidRDefault="00AD21C6" w:rsidP="00AD21C6">
      <w:pPr>
        <w:jc w:val="center"/>
        <w:rPr>
          <w:u w:val="single"/>
        </w:rPr>
      </w:pPr>
      <w:r w:rsidRPr="00AD21C6">
        <w:rPr>
          <w:rFonts w:cs="Arial"/>
          <w:szCs w:val="22"/>
          <w:u w:val="single"/>
        </w:rPr>
        <w:t xml:space="preserve">uz prijedlog </w:t>
      </w:r>
      <w:r w:rsidRPr="00AD21C6">
        <w:rPr>
          <w:rFonts w:cs="Arial"/>
          <w:bCs/>
          <w:szCs w:val="22"/>
          <w:u w:val="single"/>
        </w:rPr>
        <w:t>Odluke o utvrđivanju mjerila za sufinanciranje  predškolskog odgoja djece  u dječjim vrtićima i sufinanciranju usluge čuvanja, brige i skrbi o djeci predškolske dobi koju pružaju obrti za obavljanje djelatnosti dadilja za 202</w:t>
      </w:r>
      <w:r w:rsidR="004B6BAB">
        <w:rPr>
          <w:rFonts w:cs="Arial"/>
          <w:bCs/>
          <w:szCs w:val="22"/>
          <w:u w:val="single"/>
        </w:rPr>
        <w:t>4</w:t>
      </w:r>
      <w:r w:rsidRPr="00AD21C6">
        <w:rPr>
          <w:rFonts w:cs="Arial"/>
          <w:bCs/>
          <w:szCs w:val="22"/>
          <w:u w:val="single"/>
        </w:rPr>
        <w:t>. godinu</w:t>
      </w:r>
    </w:p>
    <w:p w14:paraId="7EDDC5F8" w14:textId="77777777" w:rsidR="00AD21C6" w:rsidRDefault="00AD21C6" w:rsidP="00AD21C6">
      <w:pPr>
        <w:jc w:val="both"/>
        <w:rPr>
          <w:rFonts w:cs="Arial"/>
          <w:szCs w:val="22"/>
        </w:rPr>
      </w:pPr>
    </w:p>
    <w:p w14:paraId="1D00BE4C" w14:textId="196E1972" w:rsidR="00AD21C6" w:rsidRDefault="00AD21C6" w:rsidP="00AD21C6">
      <w:pPr>
        <w:rPr>
          <w:rFonts w:cs="Arial"/>
          <w:szCs w:val="22"/>
        </w:rPr>
      </w:pPr>
    </w:p>
    <w:p w14:paraId="017F66D9" w14:textId="0F99488F" w:rsidR="00F3248D" w:rsidRDefault="00F3248D" w:rsidP="00AD21C6">
      <w:pPr>
        <w:rPr>
          <w:rFonts w:cs="Arial"/>
          <w:szCs w:val="22"/>
        </w:rPr>
      </w:pPr>
    </w:p>
    <w:p w14:paraId="0681527F" w14:textId="0D8344CE" w:rsidR="00F3248D" w:rsidRDefault="00866CD5" w:rsidP="00F3248D">
      <w:pPr>
        <w:jc w:val="both"/>
        <w:rPr>
          <w:rFonts w:cs="Arial"/>
          <w:szCs w:val="22"/>
        </w:rPr>
      </w:pPr>
      <w:r>
        <w:rPr>
          <w:rFonts w:cs="Arial"/>
          <w:szCs w:val="22"/>
        </w:rPr>
        <w:t xml:space="preserve">             </w:t>
      </w:r>
      <w:r w:rsidR="00F3248D">
        <w:rPr>
          <w:rFonts w:cs="Arial"/>
          <w:szCs w:val="22"/>
        </w:rPr>
        <w:t xml:space="preserve">Zakonom o predškolskom odgoju i obrazovanju </w:t>
      </w:r>
      <w:r w:rsidR="00F3248D" w:rsidRPr="00F3248D">
        <w:rPr>
          <w:rFonts w:cs="Arial"/>
          <w:szCs w:val="22"/>
        </w:rPr>
        <w:t>("Narodne novine" br. 10/97, 107/07, 94/13, 98/19, 57/22</w:t>
      </w:r>
      <w:r>
        <w:rPr>
          <w:rFonts w:cs="Arial"/>
          <w:szCs w:val="22"/>
        </w:rPr>
        <w:t>, 10/23</w:t>
      </w:r>
      <w:r w:rsidR="00F3248D">
        <w:rPr>
          <w:rFonts w:cs="Arial"/>
          <w:szCs w:val="22"/>
        </w:rPr>
        <w:t xml:space="preserve">), člankom 48. stavkom 4. propisano je da dječji vrtić koji je osnovala jedinica lokalne samouprave, naplaćuje svoje usluge od roditelja-korisnika usluga, sukladno mjerilima koje utvrđuje predstavničko tijelo, dok je člankom </w:t>
      </w:r>
      <w:r w:rsidR="00F3248D" w:rsidRPr="00F3248D">
        <w:rPr>
          <w:rFonts w:cs="Arial"/>
          <w:szCs w:val="22"/>
        </w:rPr>
        <w:t>37. stavkom 1. Zakona o dadiljama („Narodne novine“ broj 37/13</w:t>
      </w:r>
      <w:r>
        <w:rPr>
          <w:rFonts w:cs="Arial"/>
          <w:szCs w:val="22"/>
        </w:rPr>
        <w:t xml:space="preserve">, 98/19) </w:t>
      </w:r>
      <w:r w:rsidR="00F3248D" w:rsidRPr="00F3248D">
        <w:rPr>
          <w:rFonts w:cs="Arial"/>
          <w:szCs w:val="22"/>
        </w:rPr>
        <w:t>propisano je da jedinice lokalne i područne (regionalne) samouprave sudjeluju u sufinanciranju djelatnosti dadilje, na području svoje jedinice, sukladno svojim programima i odredbama posebnog propisa kojim je uređen djelokrug jedinica lokalne i područne (regionalne) samouprave.</w:t>
      </w:r>
    </w:p>
    <w:p w14:paraId="08604F39" w14:textId="77777777" w:rsidR="00AD21C6" w:rsidRDefault="00AD21C6" w:rsidP="00AD21C6">
      <w:pPr>
        <w:jc w:val="both"/>
        <w:rPr>
          <w:rFonts w:cs="Arial"/>
          <w:szCs w:val="22"/>
        </w:rPr>
      </w:pPr>
    </w:p>
    <w:p w14:paraId="40911F2F" w14:textId="1E945012" w:rsidR="00AD21C6" w:rsidRDefault="00866CD5" w:rsidP="00866CD5">
      <w:pPr>
        <w:tabs>
          <w:tab w:val="left" w:pos="709"/>
        </w:tabs>
        <w:jc w:val="both"/>
      </w:pPr>
      <w:r>
        <w:rPr>
          <w:rFonts w:cs="Arial"/>
          <w:szCs w:val="22"/>
        </w:rPr>
        <w:t xml:space="preserve">             </w:t>
      </w:r>
      <w:r w:rsidR="00AD21C6">
        <w:rPr>
          <w:rFonts w:cs="Arial"/>
          <w:szCs w:val="22"/>
        </w:rPr>
        <w:t xml:space="preserve">Odlukom </w:t>
      </w:r>
      <w:r w:rsidR="00AD21C6">
        <w:rPr>
          <w:rFonts w:cs="Arial"/>
          <w:bCs/>
          <w:szCs w:val="22"/>
        </w:rPr>
        <w:t>o utvrđivanju mjerila za sufinanciranje predškolskog odgoja djece u dječjim vrtićima i sufinanciranju usluge čuvanja, brige i skrbi o djeci predškolske dobi koju pružaju obrti za obavljanje djelatnosti dadilja</w:t>
      </w:r>
      <w:r w:rsidR="00AD21C6">
        <w:rPr>
          <w:rFonts w:cs="Arial"/>
          <w:szCs w:val="22"/>
        </w:rPr>
        <w:t xml:space="preserve"> utvrđuju se mjerila za sudjelovanje roditelja – korisnika usluga u</w:t>
      </w:r>
      <w:r w:rsidR="00AD21C6">
        <w:rPr>
          <w:rFonts w:cs="Arial"/>
          <w:bCs/>
          <w:szCs w:val="22"/>
        </w:rPr>
        <w:t xml:space="preserve"> </w:t>
      </w:r>
      <w:r w:rsidR="00AD21C6">
        <w:rPr>
          <w:rFonts w:cs="Arial"/>
          <w:szCs w:val="22"/>
        </w:rPr>
        <w:t>sufinanciranju programa Dječjeg vrtića Ivančice Ivanec, kojemu je osnivač Grad Ivanec, kao i uvjeti za sufinanciranje smještaja djece s područja grada Ivanca, u dječje vrtiće kojima je osnivač druga pravna ili fizička osoba</w:t>
      </w:r>
      <w:r w:rsidR="00FA62DF">
        <w:rPr>
          <w:rFonts w:cs="Arial"/>
          <w:szCs w:val="22"/>
        </w:rPr>
        <w:t>, kao i uvjeti za sufinanciranje čuvanja, brige i skrbi djeteta kod fizičke osobe</w:t>
      </w:r>
      <w:r w:rsidR="00AD21C6">
        <w:rPr>
          <w:rFonts w:cs="Arial"/>
          <w:szCs w:val="22"/>
        </w:rPr>
        <w:t xml:space="preserve"> registriran</w:t>
      </w:r>
      <w:r w:rsidR="00FA62DF">
        <w:rPr>
          <w:rFonts w:cs="Arial"/>
          <w:szCs w:val="22"/>
        </w:rPr>
        <w:t>e</w:t>
      </w:r>
      <w:r w:rsidR="00AD21C6">
        <w:rPr>
          <w:rFonts w:cs="Arial"/>
          <w:szCs w:val="22"/>
        </w:rPr>
        <w:t xml:space="preserve"> za djelatnost dadilje.</w:t>
      </w:r>
    </w:p>
    <w:p w14:paraId="6CB40602" w14:textId="77777777" w:rsidR="00AD21C6" w:rsidRDefault="00AD21C6" w:rsidP="00AD21C6">
      <w:pPr>
        <w:tabs>
          <w:tab w:val="left" w:pos="851"/>
        </w:tabs>
        <w:jc w:val="both"/>
        <w:rPr>
          <w:rFonts w:cs="Arial"/>
          <w:szCs w:val="22"/>
        </w:rPr>
      </w:pPr>
    </w:p>
    <w:p w14:paraId="5B5B3616" w14:textId="109D8FC3" w:rsidR="00AD21C6" w:rsidRDefault="00866CD5" w:rsidP="00866CD5">
      <w:pPr>
        <w:tabs>
          <w:tab w:val="left" w:pos="851"/>
        </w:tabs>
        <w:jc w:val="both"/>
        <w:rPr>
          <w:rFonts w:cs="Arial"/>
          <w:szCs w:val="22"/>
        </w:rPr>
      </w:pPr>
      <w:r>
        <w:rPr>
          <w:rFonts w:cs="Arial"/>
          <w:szCs w:val="22"/>
        </w:rPr>
        <w:t xml:space="preserve">            </w:t>
      </w:r>
      <w:r w:rsidR="00AD21C6">
        <w:rPr>
          <w:rFonts w:cs="Arial"/>
          <w:szCs w:val="22"/>
        </w:rPr>
        <w:t xml:space="preserve">Mjesečna uplata roditelja za 10-satni program </w:t>
      </w:r>
      <w:r w:rsidR="00FA62DF">
        <w:rPr>
          <w:rFonts w:cs="Arial"/>
          <w:szCs w:val="22"/>
        </w:rPr>
        <w:t>pohađanja</w:t>
      </w:r>
      <w:r w:rsidR="00AD21C6">
        <w:rPr>
          <w:rFonts w:cs="Arial"/>
          <w:szCs w:val="22"/>
        </w:rPr>
        <w:t xml:space="preserve"> dječjeg vrtića propisan je sukladno cenzusima, odnosno prihodima roditelja po članovima domaćinstva korisnika Vrtića.</w:t>
      </w:r>
    </w:p>
    <w:p w14:paraId="5536C2B5" w14:textId="01A424C1" w:rsidR="00AD21C6" w:rsidRDefault="00AD21C6" w:rsidP="00AD21C6">
      <w:pPr>
        <w:jc w:val="both"/>
        <w:rPr>
          <w:rFonts w:cs="Arial"/>
          <w:szCs w:val="22"/>
        </w:rPr>
      </w:pPr>
    </w:p>
    <w:p w14:paraId="2698FF83" w14:textId="7C05A511" w:rsidR="00311930" w:rsidRDefault="00866CD5" w:rsidP="00AD21C6">
      <w:pPr>
        <w:jc w:val="both"/>
        <w:rPr>
          <w:rFonts w:cs="Arial"/>
          <w:szCs w:val="22"/>
        </w:rPr>
      </w:pPr>
      <w:r>
        <w:rPr>
          <w:rFonts w:cs="Arial"/>
          <w:szCs w:val="22"/>
        </w:rPr>
        <w:t xml:space="preserve">            </w:t>
      </w:r>
      <w:r w:rsidR="00FA62DF">
        <w:rPr>
          <w:rFonts w:cs="Arial"/>
          <w:szCs w:val="22"/>
        </w:rPr>
        <w:t>Prijedlogom predmetne Odluke</w:t>
      </w:r>
      <w:r w:rsidR="00AC221B">
        <w:rPr>
          <w:rFonts w:cs="Arial"/>
          <w:szCs w:val="22"/>
        </w:rPr>
        <w:t xml:space="preserve"> utvrđen je najniži početni cenzus po članu domaćinstva u iznosu </w:t>
      </w:r>
      <w:r w:rsidR="00AC221B" w:rsidRPr="00866CD5">
        <w:rPr>
          <w:rFonts w:cs="Arial"/>
          <w:szCs w:val="22"/>
        </w:rPr>
        <w:t>od 309,00 EUR</w:t>
      </w:r>
      <w:r w:rsidR="00311930" w:rsidRPr="00866CD5">
        <w:rPr>
          <w:rFonts w:cs="Arial"/>
          <w:szCs w:val="22"/>
        </w:rPr>
        <w:t xml:space="preserve">. Navedeni </w:t>
      </w:r>
      <w:r w:rsidR="00311930">
        <w:rPr>
          <w:rFonts w:cs="Arial"/>
          <w:szCs w:val="22"/>
        </w:rPr>
        <w:t xml:space="preserve">iznos jednak je dohodovnom cenzusu za utvrđivanje dječjeg doplatka u Republici Hrvatskoj. </w:t>
      </w:r>
    </w:p>
    <w:p w14:paraId="1122BD68" w14:textId="7C28D07C" w:rsidR="00FA62DF" w:rsidRDefault="00866CD5" w:rsidP="00AD21C6">
      <w:pPr>
        <w:jc w:val="both"/>
        <w:rPr>
          <w:rFonts w:cs="Arial"/>
          <w:szCs w:val="22"/>
        </w:rPr>
      </w:pPr>
      <w:r>
        <w:rPr>
          <w:rFonts w:cs="Arial"/>
          <w:szCs w:val="22"/>
        </w:rPr>
        <w:t xml:space="preserve">            </w:t>
      </w:r>
      <w:r w:rsidR="00311930">
        <w:rPr>
          <w:rFonts w:cs="Arial"/>
          <w:szCs w:val="22"/>
        </w:rPr>
        <w:t xml:space="preserve">Naime, prema važećem Zakonu o izvršavanju Državnog proračuna Republike Hrvatske za </w:t>
      </w:r>
      <w:r w:rsidR="00311930" w:rsidRPr="00866CD5">
        <w:rPr>
          <w:rFonts w:cs="Arial"/>
          <w:szCs w:val="22"/>
        </w:rPr>
        <w:t>202</w:t>
      </w:r>
      <w:r w:rsidR="004B6BAB" w:rsidRPr="00866CD5">
        <w:rPr>
          <w:rFonts w:cs="Arial"/>
          <w:szCs w:val="22"/>
        </w:rPr>
        <w:t>3</w:t>
      </w:r>
      <w:r w:rsidR="00311930" w:rsidRPr="00866CD5">
        <w:rPr>
          <w:rFonts w:cs="Arial"/>
          <w:szCs w:val="22"/>
        </w:rPr>
        <w:t>. godinu,</w:t>
      </w:r>
      <w:r w:rsidR="00311930">
        <w:rPr>
          <w:rFonts w:cs="Arial"/>
          <w:szCs w:val="22"/>
        </w:rPr>
        <w:t xml:space="preserve"> osnovica za obračun naknada </w:t>
      </w:r>
      <w:r w:rsidR="00311930" w:rsidRPr="00866CD5">
        <w:rPr>
          <w:rFonts w:cs="Arial"/>
          <w:szCs w:val="22"/>
        </w:rPr>
        <w:t xml:space="preserve">iznosi </w:t>
      </w:r>
      <w:r w:rsidRPr="00866CD5">
        <w:rPr>
          <w:rFonts w:cs="Arial"/>
          <w:szCs w:val="22"/>
        </w:rPr>
        <w:t>441,44 EUR</w:t>
      </w:r>
      <w:r w:rsidR="00311930">
        <w:rPr>
          <w:rFonts w:cs="Arial"/>
          <w:szCs w:val="22"/>
        </w:rPr>
        <w:t>. Prema važećem Zakonu o doplatku za djecu, pravo na doplatak za djecu stječe korisnik pod uvjetom da mu ukupni dohodak ostvaren u prethodnoj kalendarskoj godini po članu kućanstva mjesečno ne prelazi 70% proračunske osnovice.</w:t>
      </w:r>
    </w:p>
    <w:p w14:paraId="475B449C" w14:textId="0223303A" w:rsidR="00FA62DF" w:rsidRDefault="00FA62DF" w:rsidP="00AD21C6">
      <w:pPr>
        <w:jc w:val="both"/>
        <w:rPr>
          <w:rFonts w:cs="Arial"/>
          <w:szCs w:val="22"/>
        </w:rPr>
      </w:pPr>
    </w:p>
    <w:p w14:paraId="51F38974" w14:textId="6342DF33" w:rsidR="00AD21C6" w:rsidRDefault="00866CD5" w:rsidP="00AD21C6">
      <w:pPr>
        <w:jc w:val="both"/>
        <w:rPr>
          <w:rFonts w:cs="Arial"/>
          <w:szCs w:val="22"/>
        </w:rPr>
      </w:pPr>
      <w:r>
        <w:rPr>
          <w:rFonts w:cs="Arial"/>
          <w:szCs w:val="22"/>
        </w:rPr>
        <w:t xml:space="preserve">            </w:t>
      </w:r>
      <w:r w:rsidR="00311930">
        <w:rPr>
          <w:rFonts w:cs="Arial"/>
          <w:szCs w:val="22"/>
        </w:rPr>
        <w:t xml:space="preserve">Prijedlogom ove Odluke </w:t>
      </w:r>
      <w:r w:rsidR="00AD21C6">
        <w:rPr>
          <w:rFonts w:cs="Arial"/>
          <w:szCs w:val="22"/>
        </w:rPr>
        <w:t xml:space="preserve">utvrđeno je više prihodovnih razreda </w:t>
      </w:r>
      <w:r w:rsidR="00311930">
        <w:rPr>
          <w:rFonts w:cs="Arial"/>
          <w:szCs w:val="22"/>
        </w:rPr>
        <w:t>čime se</w:t>
      </w:r>
      <w:r w:rsidR="00AD21C6">
        <w:rPr>
          <w:rFonts w:cs="Arial"/>
          <w:szCs w:val="22"/>
        </w:rPr>
        <w:t xml:space="preserve"> pravednije dijeli i utvr</w:t>
      </w:r>
      <w:r w:rsidR="00311930">
        <w:rPr>
          <w:rFonts w:cs="Arial"/>
          <w:szCs w:val="22"/>
        </w:rPr>
        <w:t>đuje</w:t>
      </w:r>
      <w:r w:rsidR="00AD21C6">
        <w:rPr>
          <w:rFonts w:cs="Arial"/>
          <w:szCs w:val="22"/>
        </w:rPr>
        <w:t xml:space="preserve"> iznos sufinanciranja roditelja sukladno njihovim primanjima. </w:t>
      </w:r>
    </w:p>
    <w:p w14:paraId="5234CB20" w14:textId="77777777" w:rsidR="00AD21C6" w:rsidRDefault="00AD21C6" w:rsidP="00AD21C6">
      <w:pPr>
        <w:jc w:val="both"/>
        <w:rPr>
          <w:rFonts w:cs="Arial"/>
          <w:szCs w:val="22"/>
        </w:rPr>
      </w:pPr>
    </w:p>
    <w:p w14:paraId="4E6169EF" w14:textId="149E46D9" w:rsidR="00AD21C6" w:rsidRDefault="00866CD5" w:rsidP="00AD21C6">
      <w:pPr>
        <w:jc w:val="both"/>
        <w:rPr>
          <w:rFonts w:cs="Arial"/>
          <w:szCs w:val="22"/>
        </w:rPr>
      </w:pPr>
      <w:r>
        <w:rPr>
          <w:rFonts w:cs="Arial"/>
          <w:szCs w:val="22"/>
        </w:rPr>
        <w:t xml:space="preserve">            </w:t>
      </w:r>
      <w:r w:rsidR="00AD21C6">
        <w:rPr>
          <w:rFonts w:cs="Arial"/>
          <w:szCs w:val="22"/>
        </w:rPr>
        <w:t xml:space="preserve">Najniža cijena koju plaćaju roditelji u prvom dohodovnom razredu ostala bi ista kao i do sada, i ne bi se povećavala. Kako se nadalje utvrđuju razredi tako se razmjerno i utvrđuje visina odnosno iznos sufinanciranja od strane roditelja. </w:t>
      </w:r>
    </w:p>
    <w:p w14:paraId="0A29DCEE" w14:textId="77777777" w:rsidR="00AD21C6" w:rsidRDefault="00AD21C6" w:rsidP="00AD21C6">
      <w:pPr>
        <w:jc w:val="both"/>
        <w:rPr>
          <w:rFonts w:cs="Arial"/>
          <w:szCs w:val="22"/>
        </w:rPr>
      </w:pPr>
    </w:p>
    <w:p w14:paraId="030D478B" w14:textId="495A39AE" w:rsidR="00AD21C6" w:rsidRDefault="00866CD5" w:rsidP="00AD21C6">
      <w:pPr>
        <w:jc w:val="both"/>
        <w:rPr>
          <w:rFonts w:cs="Arial"/>
          <w:szCs w:val="22"/>
        </w:rPr>
      </w:pPr>
      <w:r>
        <w:rPr>
          <w:rFonts w:cs="Arial"/>
          <w:szCs w:val="22"/>
        </w:rPr>
        <w:t xml:space="preserve">            </w:t>
      </w:r>
      <w:r w:rsidR="00AD21C6">
        <w:rPr>
          <w:rFonts w:cs="Arial"/>
          <w:szCs w:val="22"/>
        </w:rPr>
        <w:t xml:space="preserve">Ujedno, predloženom Odlukom </w:t>
      </w:r>
      <w:r w:rsidR="00C15243">
        <w:rPr>
          <w:rFonts w:cs="Arial"/>
          <w:szCs w:val="22"/>
        </w:rPr>
        <w:t xml:space="preserve">utvrđuje se </w:t>
      </w:r>
      <w:r w:rsidR="00AD21C6">
        <w:rPr>
          <w:rFonts w:cs="Arial"/>
          <w:szCs w:val="22"/>
        </w:rPr>
        <w:t xml:space="preserve">iznos sufinanciranja Grada Ivanca </w:t>
      </w:r>
      <w:r w:rsidR="00C15243">
        <w:rPr>
          <w:rFonts w:cs="Arial"/>
          <w:szCs w:val="22"/>
        </w:rPr>
        <w:t xml:space="preserve">za djecu s prebivalištem na području grada Ivanca koji su </w:t>
      </w:r>
      <w:r w:rsidR="00AD21C6">
        <w:rPr>
          <w:rFonts w:cs="Arial"/>
          <w:szCs w:val="22"/>
        </w:rPr>
        <w:t>korisnici redovitog programa u dječjim vrtićima</w:t>
      </w:r>
      <w:r w:rsidR="00C15243">
        <w:rPr>
          <w:rFonts w:cs="Arial"/>
          <w:szCs w:val="22"/>
        </w:rPr>
        <w:t xml:space="preserve"> čiji osnivač nije Grad Ivanec,</w:t>
      </w:r>
      <w:r w:rsidR="00AA4FB0">
        <w:rPr>
          <w:rFonts w:cs="Arial"/>
          <w:szCs w:val="22"/>
        </w:rPr>
        <w:t xml:space="preserve"> odnosno</w:t>
      </w:r>
      <w:r w:rsidR="00AD21C6">
        <w:rPr>
          <w:rFonts w:cs="Arial"/>
          <w:szCs w:val="22"/>
        </w:rPr>
        <w:t xml:space="preserve"> </w:t>
      </w:r>
      <w:r w:rsidR="00AA4FB0">
        <w:rPr>
          <w:rFonts w:cs="Arial"/>
          <w:szCs w:val="22"/>
        </w:rPr>
        <w:t>iznos sufinanciranja za djecu koja su povjerena na čuvanje obrtnicima koji ispunjavaju uvjete za obavljanje djelatnosti dadilje sukladno odgovarajućem zakonu, i  to u iznosu maksimalno do 132,00 EUR. Dakle, Grad Ivanec bi maksimalno do iznosa od 132,00 EUR mjesečno po djetetu sufinancirao razliku od utvrđene cijene koju plaćaju roditelji do iznosa ekonomske cijene sve sukladno mjerilima iz članka 3. ove Odluke.</w:t>
      </w:r>
    </w:p>
    <w:p w14:paraId="1F0EE718" w14:textId="77777777" w:rsidR="00F825F9" w:rsidRDefault="00F825F9" w:rsidP="00AD21C6">
      <w:pPr>
        <w:jc w:val="both"/>
        <w:rPr>
          <w:rFonts w:cs="Arial"/>
          <w:szCs w:val="22"/>
        </w:rPr>
      </w:pPr>
    </w:p>
    <w:p w14:paraId="1C1C8DD1" w14:textId="78FD5643" w:rsidR="00AD21C6" w:rsidRPr="00FC4FFC" w:rsidRDefault="00866CD5" w:rsidP="00AD21C6">
      <w:pPr>
        <w:jc w:val="both"/>
        <w:rPr>
          <w:rFonts w:cs="Arial"/>
          <w:szCs w:val="22"/>
        </w:rPr>
      </w:pPr>
      <w:r>
        <w:rPr>
          <w:rFonts w:cs="Arial"/>
          <w:szCs w:val="22"/>
        </w:rPr>
        <w:t xml:space="preserve">            </w:t>
      </w:r>
      <w:r w:rsidR="00F3248D" w:rsidRPr="00FC4FFC">
        <w:rPr>
          <w:rFonts w:cs="Arial"/>
          <w:szCs w:val="22"/>
        </w:rPr>
        <w:t>Naime,</w:t>
      </w:r>
      <w:r w:rsidR="00AD21C6" w:rsidRPr="00FC4FFC">
        <w:rPr>
          <w:rFonts w:cs="Arial"/>
          <w:szCs w:val="22"/>
        </w:rPr>
        <w:t xml:space="preserve"> u Dječjem vrtiću Ivančice Ivanec kojemu je Grad Ivanec osnivač </w:t>
      </w:r>
      <w:r w:rsidR="00AA4FB0" w:rsidRPr="00FC4FFC">
        <w:rPr>
          <w:rFonts w:cs="Arial"/>
          <w:szCs w:val="22"/>
        </w:rPr>
        <w:t xml:space="preserve">ovog trenutka </w:t>
      </w:r>
      <w:r w:rsidR="00AD21C6" w:rsidRPr="00FC4FFC">
        <w:rPr>
          <w:rFonts w:cs="Arial"/>
          <w:szCs w:val="22"/>
        </w:rPr>
        <w:t xml:space="preserve">nema dovoljno smještajnog kapaciteta, kao i zbog blizine radnog mjesta roditelja nekom privatnom vrtiću ili obrtu, </w:t>
      </w:r>
      <w:r w:rsidR="00FC4FFC" w:rsidRPr="00FC4FFC">
        <w:rPr>
          <w:rFonts w:cs="Arial"/>
          <w:szCs w:val="22"/>
        </w:rPr>
        <w:t xml:space="preserve">prema zadnjim ažuriranim podacima </w:t>
      </w:r>
      <w:r w:rsidR="00AD21C6" w:rsidRPr="00FC4FFC">
        <w:rPr>
          <w:rFonts w:cs="Arial"/>
          <w:szCs w:val="22"/>
        </w:rPr>
        <w:t xml:space="preserve">oko </w:t>
      </w:r>
      <w:r w:rsidR="004B6BAB" w:rsidRPr="00FC4FFC">
        <w:rPr>
          <w:rFonts w:cs="Arial"/>
          <w:szCs w:val="22"/>
        </w:rPr>
        <w:t>190</w:t>
      </w:r>
      <w:r w:rsidR="00AD21C6" w:rsidRPr="00FC4FFC">
        <w:rPr>
          <w:rFonts w:cs="Arial"/>
          <w:szCs w:val="22"/>
        </w:rPr>
        <w:t xml:space="preserve"> djece sa područja </w:t>
      </w:r>
      <w:r w:rsidR="00AD21C6" w:rsidRPr="00FC4FFC">
        <w:rPr>
          <w:rFonts w:cs="Arial"/>
          <w:szCs w:val="22"/>
        </w:rPr>
        <w:lastRenderedPageBreak/>
        <w:t xml:space="preserve">Grada Ivanca polazi privatne dječje vrtiće ili obrte za obavljanje djelatnosti dadilja. </w:t>
      </w:r>
      <w:r w:rsidR="00FC4FFC" w:rsidRPr="00FC4FFC">
        <w:rPr>
          <w:rFonts w:cs="Arial"/>
          <w:szCs w:val="22"/>
        </w:rPr>
        <w:t>Dovršetkom rekonstrukcije (dogradnje) Dječjeg vrtića Ivančice Ivanec</w:t>
      </w:r>
      <w:r w:rsidR="00FC4FFC">
        <w:rPr>
          <w:rFonts w:cs="Arial"/>
          <w:szCs w:val="22"/>
        </w:rPr>
        <w:t xml:space="preserve">, </w:t>
      </w:r>
      <w:r w:rsidR="00FC4FFC" w:rsidRPr="00FC4FFC">
        <w:rPr>
          <w:rFonts w:cs="Arial"/>
          <w:szCs w:val="22"/>
        </w:rPr>
        <w:t xml:space="preserve">omogućit će se upis djece u dodatna </w:t>
      </w:r>
      <w:r w:rsidR="00FC4FFC" w:rsidRPr="00FC4FFC">
        <w:rPr>
          <w:rFonts w:cs="Arial"/>
          <w:szCs w:val="22"/>
        </w:rPr>
        <w:t>4 dnevna boravka za 4 nove jasličke skupine – ukupno 48 djece (4 jasličke skupine po 12 djece svaka)</w:t>
      </w:r>
      <w:r w:rsidR="00FC4FFC" w:rsidRPr="00FC4FFC">
        <w:rPr>
          <w:rFonts w:cs="Arial"/>
          <w:szCs w:val="22"/>
        </w:rPr>
        <w:t>.</w:t>
      </w:r>
    </w:p>
    <w:p w14:paraId="0E793DCE" w14:textId="77777777" w:rsidR="00AD21C6" w:rsidRPr="00FC4FFC" w:rsidRDefault="00AD21C6" w:rsidP="00AD21C6">
      <w:pPr>
        <w:jc w:val="both"/>
        <w:rPr>
          <w:rFonts w:cs="Arial"/>
          <w:szCs w:val="22"/>
        </w:rPr>
      </w:pPr>
    </w:p>
    <w:p w14:paraId="1B3E4730" w14:textId="0A31F040" w:rsidR="00AD21C6" w:rsidRDefault="00866CD5" w:rsidP="00866CD5">
      <w:pPr>
        <w:tabs>
          <w:tab w:val="left" w:pos="851"/>
        </w:tabs>
        <w:jc w:val="both"/>
        <w:rPr>
          <w:rFonts w:cs="Arial"/>
          <w:szCs w:val="22"/>
        </w:rPr>
      </w:pPr>
      <w:r>
        <w:rPr>
          <w:rFonts w:cs="Arial"/>
          <w:szCs w:val="22"/>
        </w:rPr>
        <w:t xml:space="preserve">            </w:t>
      </w:r>
      <w:r w:rsidR="00F3248D">
        <w:rPr>
          <w:rFonts w:cs="Arial"/>
          <w:szCs w:val="22"/>
        </w:rPr>
        <w:t>Osnova predložene Odluke jest pravo svakog djeteta na predškolski odgoj pod jednakim uvjetima, neovisno je</w:t>
      </w:r>
      <w:r w:rsidR="00AD21C6">
        <w:rPr>
          <w:rFonts w:cs="Arial"/>
          <w:szCs w:val="22"/>
        </w:rPr>
        <w:t xml:space="preserve"> li dijete polaznik gradskog ili privatnog vrtića, odnosno obrta za obavljanje djelatnosti dadilja</w:t>
      </w:r>
      <w:r w:rsidR="002C7BCF">
        <w:rPr>
          <w:rFonts w:cs="Arial"/>
          <w:szCs w:val="22"/>
        </w:rPr>
        <w:t>, s ciljem uključivanja što većeg broja djece u programe predškolskog odgoja i obrazovanja.</w:t>
      </w:r>
    </w:p>
    <w:p w14:paraId="3C6D175D" w14:textId="23C698EE" w:rsidR="00AD21C6" w:rsidRDefault="00AD21C6" w:rsidP="00AD21C6">
      <w:pPr>
        <w:jc w:val="both"/>
        <w:rPr>
          <w:rFonts w:cs="Arial"/>
          <w:szCs w:val="22"/>
        </w:rPr>
      </w:pPr>
    </w:p>
    <w:p w14:paraId="40260D06" w14:textId="77777777" w:rsidR="00AD21C6" w:rsidRDefault="00AD21C6" w:rsidP="00AD21C6">
      <w:pPr>
        <w:jc w:val="both"/>
        <w:rPr>
          <w:rFonts w:cs="Arial"/>
          <w:szCs w:val="22"/>
        </w:rPr>
      </w:pPr>
    </w:p>
    <w:p w14:paraId="0E2AC88E" w14:textId="493F38AD" w:rsidR="00AD21C6" w:rsidRDefault="00AD21C6" w:rsidP="00F3248D">
      <w:pPr>
        <w:jc w:val="right"/>
        <w:rPr>
          <w:b/>
          <w:bCs/>
        </w:rPr>
      </w:pPr>
      <w:r>
        <w:rPr>
          <w:b/>
          <w:bCs/>
        </w:rPr>
        <w:t>Upravni odjel za lokalnu samoupravu</w:t>
      </w:r>
      <w:r w:rsidR="00F3248D">
        <w:rPr>
          <w:b/>
          <w:bCs/>
        </w:rPr>
        <w:t xml:space="preserve"> i imovinu</w:t>
      </w:r>
    </w:p>
    <w:p w14:paraId="7BE0E6CD" w14:textId="38E0D8AB" w:rsidR="00AD21C6" w:rsidRPr="00AD21C6" w:rsidRDefault="00AD21C6" w:rsidP="00AD21C6">
      <w:pPr>
        <w:suppressAutoHyphens w:val="0"/>
        <w:autoSpaceDN/>
        <w:spacing w:line="259" w:lineRule="auto"/>
        <w:jc w:val="both"/>
        <w:textAlignment w:val="auto"/>
        <w:rPr>
          <w:rFonts w:ascii="Times New Roman" w:eastAsiaTheme="minorHAnsi" w:hAnsi="Times New Roman"/>
          <w:sz w:val="24"/>
          <w:szCs w:val="24"/>
          <w:lang w:eastAsia="en-US"/>
        </w:rPr>
      </w:pPr>
    </w:p>
    <w:p w14:paraId="25F9F2B9" w14:textId="5ACFB89E" w:rsidR="00AD21C6" w:rsidRDefault="00AD21C6" w:rsidP="00AD21C6"/>
    <w:p w14:paraId="6DEA7BEF" w14:textId="57A1674D" w:rsidR="00AD21C6" w:rsidRDefault="00AD21C6" w:rsidP="00AD21C6"/>
    <w:p w14:paraId="6604C8F7" w14:textId="07E6B600" w:rsidR="00AD21C6" w:rsidRDefault="00AD21C6" w:rsidP="00AD21C6"/>
    <w:sectPr w:rsidR="00AD21C6">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EE"/>
    <w:family w:val="swiss"/>
    <w:pitch w:val="variable"/>
    <w:sig w:usb0="E4002EFF" w:usb1="C000247B"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Arial">
    <w:panose1 w:val="020B0604020202020204"/>
    <w:charset w:val="EE"/>
    <w:family w:val="swiss"/>
    <w:pitch w:val="variable"/>
    <w:sig w:usb0="E0002EFF" w:usb1="C000785B" w:usb2="00000009" w:usb3="00000000" w:csb0="000001FF" w:csb1="00000000"/>
  </w:font>
  <w:font w:name="Calibri Light">
    <w:panose1 w:val="020F0302020204030204"/>
    <w:charset w:val="EE"/>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D21C6"/>
    <w:rsid w:val="002C7BCF"/>
    <w:rsid w:val="00311930"/>
    <w:rsid w:val="00354154"/>
    <w:rsid w:val="004B6BAB"/>
    <w:rsid w:val="00866CD5"/>
    <w:rsid w:val="00AA4FB0"/>
    <w:rsid w:val="00AC221B"/>
    <w:rsid w:val="00AD21C6"/>
    <w:rsid w:val="00C15243"/>
    <w:rsid w:val="00F3248D"/>
    <w:rsid w:val="00F825F9"/>
    <w:rsid w:val="00FA62DF"/>
    <w:rsid w:val="00FC4FFC"/>
  </w:rsids>
  <m:mathPr>
    <m:mathFont m:val="Cambria Math"/>
    <m:brkBin m:val="before"/>
    <m:brkBinSub m:val="--"/>
    <m:smallFrac m:val="0"/>
    <m:dispDef/>
    <m:lMargin m:val="0"/>
    <m:rMargin m:val="0"/>
    <m:defJc m:val="centerGroup"/>
    <m:wrapIndent m:val="1440"/>
    <m:intLim m:val="subSup"/>
    <m:naryLim m:val="undOvr"/>
  </m:mathPr>
  <w:themeFontLang w:val="hr-H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B6BC0D9"/>
  <w15:chartTrackingRefBased/>
  <w15:docId w15:val="{187D9554-FC40-4A3F-B589-650E47ED013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hr-HR"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D21C6"/>
    <w:pPr>
      <w:suppressAutoHyphens/>
      <w:autoSpaceDN w:val="0"/>
      <w:spacing w:after="0" w:line="240" w:lineRule="auto"/>
      <w:textAlignment w:val="baseline"/>
    </w:pPr>
    <w:rPr>
      <w:rFonts w:ascii="Arial" w:eastAsia="Times New Roman" w:hAnsi="Arial" w:cs="Times New Roman"/>
      <w:szCs w:val="20"/>
      <w:lang w:eastAsia="hr-HR"/>
    </w:rPr>
  </w:style>
  <w:style w:type="character" w:default="1" w:styleId="Zadanifontodlomka">
    <w:name w:val="Default Paragraph Font"/>
    <w:uiPriority w:val="1"/>
    <w:semiHidden/>
    <w:unhideWhenUsed/>
  </w:style>
  <w:style w:type="table" w:default="1" w:styleId="Obinatablica">
    <w:name w:val="Normal Table"/>
    <w:uiPriority w:val="99"/>
    <w:semiHidden/>
    <w:unhideWhenUsed/>
    <w:tblPr>
      <w:tblInd w:w="0" w:type="dxa"/>
      <w:tblCellMar>
        <w:top w:w="0" w:type="dxa"/>
        <w:left w:w="108" w:type="dxa"/>
        <w:bottom w:w="0" w:type="dxa"/>
        <w:right w:w="108" w:type="dxa"/>
      </w:tblCellMar>
    </w:tblPr>
  </w:style>
  <w:style w:type="numbering" w:default="1" w:styleId="Bezpopisa">
    <w:name w:val="No List"/>
    <w:uiPriority w:val="99"/>
    <w:semiHidden/>
    <w:unhideWhenUsed/>
  </w:style>
  <w:style w:type="character" w:customStyle="1" w:styleId="markedcontent">
    <w:name w:val="markedcontent"/>
    <w:basedOn w:val="Zadanifontodlomka"/>
    <w:rsid w:val="00AD21C6"/>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Tema sustava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13</TotalTime>
  <Pages>1</Pages>
  <Words>654</Words>
  <Characters>3733</Characters>
  <Application>Microsoft Office Word</Application>
  <DocSecurity>0</DocSecurity>
  <Lines>31</Lines>
  <Paragraphs>8</Paragraphs>
  <ScaleCrop>false</ScaleCrop>
  <HeadingPairs>
    <vt:vector size="2" baseType="variant">
      <vt:variant>
        <vt:lpstr>Naslov</vt:lpstr>
      </vt:variant>
      <vt:variant>
        <vt:i4>1</vt:i4>
      </vt:variant>
    </vt:vector>
  </HeadingPairs>
  <TitlesOfParts>
    <vt:vector size="1" baseType="lpstr">
      <vt:lpstr/>
    </vt:vector>
  </TitlesOfParts>
  <Company/>
  <LinksUpToDate>false</LinksUpToDate>
  <CharactersWithSpaces>4379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Irena Romanić</dc:creator>
  <cp:keywords/>
  <dc:description/>
  <cp:lastModifiedBy>Irena Romanić</cp:lastModifiedBy>
  <cp:revision>4</cp:revision>
  <cp:lastPrinted>2023-11-24T12:43:00Z</cp:lastPrinted>
  <dcterms:created xsi:type="dcterms:W3CDTF">2023-11-24T11:12:00Z</dcterms:created>
  <dcterms:modified xsi:type="dcterms:W3CDTF">2023-11-24T12:43:00Z</dcterms:modified>
</cp:coreProperties>
</file>